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1706FA2" w14:textId="44553141"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376CD">
        <w:rPr>
          <w:bCs/>
          <w:noProof w:val="0"/>
          <w:sz w:val="24"/>
          <w:szCs w:val="24"/>
        </w:rPr>
        <w:t>2</w:t>
      </w:r>
      <w:r w:rsidR="00C55A12">
        <w:rPr>
          <w:bCs/>
          <w:noProof w:val="0"/>
          <w:sz w:val="24"/>
          <w:szCs w:val="24"/>
        </w:rPr>
        <w:t>10</w:t>
      </w:r>
      <w:r w:rsidR="00BF28B0">
        <w:rPr>
          <w:bCs/>
          <w:noProof w:val="0"/>
          <w:sz w:val="24"/>
          <w:szCs w:val="24"/>
        </w:rPr>
        <w:t>363</w:t>
      </w:r>
      <w:r w:rsidR="00865958">
        <w:rPr>
          <w:bCs/>
          <w:noProof w:val="0"/>
          <w:sz w:val="24"/>
          <w:szCs w:val="24"/>
        </w:rPr>
        <w:t>9</w:t>
      </w:r>
    </w:p>
    <w:p w14:paraId="11776FA6" w14:textId="15D98328"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A22063" w:rsidRPr="007264ED">
        <w:rPr>
          <w:sz w:val="24"/>
        </w:rPr>
        <w:t>April 12 – April 20,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83864C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952C2">
        <w:rPr>
          <w:rFonts w:cs="Arial"/>
          <w:b/>
          <w:bCs/>
          <w:sz w:val="24"/>
        </w:rPr>
        <w:t>8.17</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216B645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952C2" w:rsidRPr="00B952C2">
        <w:rPr>
          <w:rFonts w:ascii="Arial" w:hAnsi="Arial" w:cs="Arial"/>
          <w:b/>
          <w:bCs/>
          <w:sz w:val="24"/>
        </w:rPr>
        <w:t xml:space="preserve">Discussion </w:t>
      </w:r>
      <w:r w:rsidR="00B952C2">
        <w:rPr>
          <w:rFonts w:ascii="Arial" w:hAnsi="Arial" w:cs="Arial"/>
          <w:b/>
          <w:bCs/>
          <w:sz w:val="24"/>
        </w:rPr>
        <w:t xml:space="preserve">about RAN1 LS on </w:t>
      </w:r>
      <w:r w:rsidR="00B952C2" w:rsidRPr="00B952C2">
        <w:rPr>
          <w:rFonts w:ascii="Arial" w:hAnsi="Arial" w:cs="Arial"/>
          <w:b/>
          <w:bCs/>
          <w:sz w:val="24"/>
        </w:rPr>
        <w:t>L1/L2 mobility</w:t>
      </w:r>
    </w:p>
    <w:p w14:paraId="1F147C23" w14:textId="08687FA5"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B952C2" w:rsidRPr="00B952C2">
        <w:rPr>
          <w:rFonts w:ascii="Arial" w:hAnsi="Arial" w:cs="Arial"/>
          <w:b/>
          <w:bCs/>
          <w:sz w:val="24"/>
        </w:rPr>
        <w:t xml:space="preserve">NR_feMIMO-Core </w:t>
      </w:r>
      <w:r>
        <w:rPr>
          <w:rFonts w:ascii="Arial" w:hAnsi="Arial" w:cs="Arial"/>
          <w:b/>
          <w:bCs/>
          <w:sz w:val="24"/>
        </w:rPr>
        <w:t xml:space="preserve">- Release </w:t>
      </w:r>
      <w:r w:rsidR="00B952C2">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0DE8B4E1" w14:textId="4AC63106" w:rsidR="00B952C2" w:rsidRDefault="00B952C2" w:rsidP="00A209D6">
      <w:r>
        <w:t xml:space="preserve">RAN1 has sent two LSs on the Rel-17 FeMIMO topic: The first in </w:t>
      </w:r>
      <w:hyperlink r:id="rId13" w:history="1">
        <w:r w:rsidRPr="00841480">
          <w:rPr>
            <w:rStyle w:val="Hyperlink"/>
          </w:rPr>
          <w:t>R1-2102209</w:t>
        </w:r>
      </w:hyperlink>
      <w:r w:rsidR="00464420">
        <w:rPr>
          <w:rStyle w:val="Hyperlink"/>
        </w:rPr>
        <w:t xml:space="preserve"> (</w:t>
      </w:r>
      <w:hyperlink r:id="rId14" w:tgtFrame="_blank" w:history="1">
        <w:r w:rsidR="00464420">
          <w:rPr>
            <w:rStyle w:val="Hyperlink"/>
          </w:rPr>
          <w:t>R2-2102625</w:t>
        </w:r>
      </w:hyperlink>
      <w:r w:rsidR="00464420">
        <w:rPr>
          <w:rStyle w:val="Hyperlink"/>
        </w:rPr>
        <w:t>)</w:t>
      </w:r>
      <w:r>
        <w:t xml:space="preserve">, which just lists the current agreements in the WI, but the second LS </w:t>
      </w:r>
      <w:r w:rsidRPr="00B952C2">
        <w:rPr>
          <w:sz w:val="22"/>
          <w:szCs w:val="22"/>
        </w:rPr>
        <w:t>in</w:t>
      </w:r>
      <w:r w:rsidRPr="00B952C2">
        <w:rPr>
          <w:rFonts w:ascii="Arial" w:hAnsi="Arial"/>
          <w:color w:val="000000"/>
        </w:rPr>
        <w:t xml:space="preserve"> </w:t>
      </w:r>
      <w:hyperlink r:id="rId15" w:tgtFrame="_blank" w:history="1">
        <w:r w:rsidR="001431E8">
          <w:rPr>
            <w:rStyle w:val="Hyperlink"/>
          </w:rPr>
          <w:t>R2-2102627</w:t>
        </w:r>
      </w:hyperlink>
      <w:r w:rsidR="001431E8">
        <w:t xml:space="preserve"> (</w:t>
      </w:r>
      <w:hyperlink r:id="rId16" w:history="1">
        <w:r w:rsidRPr="00B952C2">
          <w:rPr>
            <w:rStyle w:val="Hyperlink"/>
            <w:rFonts w:cs="Arial"/>
          </w:rPr>
          <w:t>R1-2102248</w:t>
        </w:r>
      </w:hyperlink>
      <w:r w:rsidR="001431E8">
        <w:rPr>
          <w:rStyle w:val="Hyperlink"/>
          <w:rFonts w:cs="Arial"/>
        </w:rPr>
        <w:t>)</w:t>
      </w:r>
      <w:r>
        <w:t xml:space="preserve"> requests RAN2 (and RAN3/4) feedback on the L1/L2-centric mobility, with several questions. This topic was also discussed in RAN#91e, with the conclusion being</w:t>
      </w:r>
      <w:r w:rsidR="00DA50F7">
        <w:t xml:space="preserve"> that RAN2 TUs were added for the RAN2#114e meeting to ensure that RAN#92e can determine how the WI scope should best reflect the work that can be done on this topic during Rel-17.</w:t>
      </w:r>
      <w:r w:rsidR="00DA50F7" w:rsidRPr="00B952C2" w:rsidDel="00DA50F7">
        <w:rPr>
          <w:highlight w:val="yellow"/>
        </w:rPr>
        <w:t xml:space="preserve"> </w:t>
      </w:r>
    </w:p>
    <w:p w14:paraId="31EC6E66" w14:textId="65AD20AD" w:rsidR="007F2E08" w:rsidRDefault="00B952C2" w:rsidP="00B952C2">
      <w:r>
        <w:t xml:space="preserve">In this contribution, we discuss </w:t>
      </w:r>
      <w:r w:rsidR="00DA50F7">
        <w:t xml:space="preserve">the </w:t>
      </w:r>
      <w:r>
        <w:t xml:space="preserve">RAN2 </w:t>
      </w:r>
      <w:r w:rsidR="00DA50F7">
        <w:t xml:space="preserve">work ahead in light of the LS content and attempt to draft </w:t>
      </w:r>
      <w:r w:rsidR="00437BBC">
        <w:t xml:space="preserve"> a potential </w:t>
      </w:r>
      <w:r>
        <w:t>repl</w:t>
      </w:r>
      <w:r w:rsidR="00437BBC">
        <w:t>ies to RAN1 questions</w:t>
      </w:r>
      <w:r>
        <w:t>.</w:t>
      </w:r>
    </w:p>
    <w:p w14:paraId="4F547731" w14:textId="1E1D39C4" w:rsidR="00A209D6" w:rsidRPr="006E13D1" w:rsidRDefault="00A209D6" w:rsidP="00B7538C">
      <w:pPr>
        <w:pStyle w:val="Heading1"/>
      </w:pPr>
      <w:r w:rsidRPr="006E13D1">
        <w:t>2</w:t>
      </w:r>
      <w:r w:rsidRPr="006E13D1">
        <w:tab/>
      </w:r>
      <w:r w:rsidR="00B952C2">
        <w:t>L1/L2 ce</w:t>
      </w:r>
      <w:r w:rsidR="00841480">
        <w:t>ntric mobility</w:t>
      </w:r>
    </w:p>
    <w:p w14:paraId="5F01C058" w14:textId="455B1B52" w:rsidR="00A209D6" w:rsidRPr="006E13D1" w:rsidRDefault="00B7538C" w:rsidP="00A209D6">
      <w:pPr>
        <w:pStyle w:val="Heading2"/>
      </w:pPr>
      <w:r>
        <w:t>2</w:t>
      </w:r>
      <w:r w:rsidR="00A209D6" w:rsidRPr="006E13D1">
        <w:t>.1</w:t>
      </w:r>
      <w:r w:rsidR="00A209D6" w:rsidRPr="006E13D1">
        <w:tab/>
      </w:r>
      <w:r w:rsidR="00841480">
        <w:t>RAN1 background</w:t>
      </w:r>
    </w:p>
    <w:p w14:paraId="101794E1" w14:textId="5333EC09" w:rsidR="00F9093A" w:rsidRDefault="00437BBC" w:rsidP="00B7538C">
      <w:r>
        <w:t>RAN1 specified the multi-TRP functionality in Rel-16, which allowed both the single-DCI and multi-DC operation modes for multi-TRP: In effect, that allowed UE to receive PDSCH using two sets of TCI states</w:t>
      </w:r>
      <w:r w:rsidR="00B6156B">
        <w:t xml:space="preserve">, i.e. from two different TRPs, as long as they used the same PCI. Then the Rel-17 work item was created to </w:t>
      </w:r>
      <w:r w:rsidR="003F2975">
        <w:t xml:space="preserve">extend this functionality, which then also morphed into a more generic concept of "L1/L2-centric mobility" that aims to leverage the Rel-16 multi-TRP work and allow UE to transmit/receive from more than one TRP in a matter that is "invisible" to the upper layers. </w:t>
      </w:r>
      <w:r w:rsidR="00F9093A">
        <w:t>T</w:t>
      </w:r>
      <w:r w:rsidR="003F2975">
        <w:t>o this end, t</w:t>
      </w:r>
      <w:r w:rsidR="00F9093A">
        <w:t xml:space="preserve">he objective in </w:t>
      </w:r>
      <w:r w:rsidR="003F2975">
        <w:t xml:space="preserve">the </w:t>
      </w:r>
      <w:r w:rsidR="00F9093A">
        <w:t xml:space="preserve">Rel-17 FeMIMO WI in states the following as objective for the </w:t>
      </w:r>
      <w:r w:rsidR="00F9093A" w:rsidRPr="00A5127C">
        <w:rPr>
          <w:highlight w:val="yellow"/>
        </w:rPr>
        <w:t>L1/L2</w:t>
      </w:r>
      <w:r w:rsidR="00A5127C">
        <w:rPr>
          <w:highlight w:val="yellow"/>
        </w:rPr>
        <w:t>-centric</w:t>
      </w:r>
      <w:r w:rsidR="00F9093A" w:rsidRPr="00A5127C">
        <w:rPr>
          <w:highlight w:val="yellow"/>
        </w:rPr>
        <w:t xml:space="preserve"> mobility</w:t>
      </w:r>
      <w:r w:rsidR="00F9093A">
        <w:t xml:space="preserve"> work:</w:t>
      </w:r>
    </w:p>
    <w:tbl>
      <w:tblPr>
        <w:tblStyle w:val="TableGrid"/>
        <w:tblW w:w="0" w:type="auto"/>
        <w:tblLook w:val="04A0" w:firstRow="1" w:lastRow="0" w:firstColumn="1" w:lastColumn="0" w:noHBand="0" w:noVBand="1"/>
      </w:tblPr>
      <w:tblGrid>
        <w:gridCol w:w="9631"/>
      </w:tblGrid>
      <w:tr w:rsidR="00F9093A" w14:paraId="6128CCE7" w14:textId="77777777" w:rsidTr="00F9093A">
        <w:tc>
          <w:tcPr>
            <w:tcW w:w="9631" w:type="dxa"/>
          </w:tcPr>
          <w:p w14:paraId="7549A8BC" w14:textId="77777777" w:rsidR="00F9093A" w:rsidRPr="0051690F" w:rsidRDefault="00F9093A" w:rsidP="00F9093A">
            <w:pPr>
              <w:pStyle w:val="ListParagraph"/>
              <w:numPr>
                <w:ilvl w:val="0"/>
                <w:numId w:val="15"/>
              </w:numPr>
              <w:ind w:left="720"/>
              <w:contextualSpacing w:val="0"/>
              <w:jc w:val="both"/>
            </w:pPr>
            <w:r w:rsidRPr="0051690F">
              <w:t xml:space="preserve">Enhancement on multi-beam operation, mainly targeting FR2 while also applicable to FR1: </w:t>
            </w:r>
          </w:p>
          <w:p w14:paraId="25DB26F0" w14:textId="77777777" w:rsidR="00F9093A" w:rsidRPr="00A5127C" w:rsidRDefault="00F9093A" w:rsidP="00F9093A">
            <w:pPr>
              <w:pStyle w:val="ListParagraph"/>
              <w:numPr>
                <w:ilvl w:val="1"/>
                <w:numId w:val="15"/>
              </w:numPr>
              <w:ind w:left="1440"/>
              <w:contextualSpacing w:val="0"/>
              <w:jc w:val="both"/>
              <w:rPr>
                <w:highlight w:val="cyan"/>
              </w:rPr>
            </w:pPr>
            <w:r w:rsidRPr="00ED5033">
              <w:rPr>
                <w:highlight w:val="yellow"/>
              </w:rPr>
              <w:t>Identify and specify features to facilitate more efficient (lower latency and overhead) DL/UL beam management to support higher intra- and L1/L2-centric inter-cell mobility</w:t>
            </w:r>
            <w:r w:rsidRPr="0051690F">
              <w:t xml:space="preserve"> </w:t>
            </w:r>
            <w:r w:rsidRPr="00A5127C">
              <w:rPr>
                <w:highlight w:val="cyan"/>
              </w:rPr>
              <w:t>and/or a larger number of configured TCI states:</w:t>
            </w:r>
          </w:p>
          <w:p w14:paraId="63719BBA" w14:textId="77777777" w:rsidR="00F9093A" w:rsidRPr="00A5127C" w:rsidRDefault="00F9093A" w:rsidP="00F9093A">
            <w:pPr>
              <w:pStyle w:val="ListParagraph"/>
              <w:numPr>
                <w:ilvl w:val="2"/>
                <w:numId w:val="15"/>
              </w:numPr>
              <w:ind w:left="2160"/>
              <w:contextualSpacing w:val="0"/>
              <w:jc w:val="both"/>
              <w:rPr>
                <w:highlight w:val="cyan"/>
              </w:rPr>
            </w:pPr>
            <w:r w:rsidRPr="00A5127C">
              <w:rPr>
                <w:highlight w:val="cyan"/>
              </w:rPr>
              <w:t>Common beam for data and control transmission/reception for DL and UL, especially for intra-band CA</w:t>
            </w:r>
          </w:p>
          <w:p w14:paraId="187026E8" w14:textId="77777777" w:rsidR="00F9093A" w:rsidRPr="00A5127C" w:rsidRDefault="00F9093A" w:rsidP="00F9093A">
            <w:pPr>
              <w:pStyle w:val="ListParagraph"/>
              <w:numPr>
                <w:ilvl w:val="2"/>
                <w:numId w:val="15"/>
              </w:numPr>
              <w:ind w:left="2160"/>
              <w:contextualSpacing w:val="0"/>
              <w:jc w:val="both"/>
              <w:rPr>
                <w:highlight w:val="cyan"/>
              </w:rPr>
            </w:pPr>
            <w:r w:rsidRPr="00A5127C">
              <w:rPr>
                <w:highlight w:val="cyan"/>
              </w:rPr>
              <w:t>Unified TCI framework for DL and UL beam indication</w:t>
            </w:r>
          </w:p>
          <w:p w14:paraId="2191612F" w14:textId="77777777" w:rsidR="00F9093A" w:rsidRPr="00ED5033" w:rsidRDefault="00F9093A" w:rsidP="00F9093A">
            <w:pPr>
              <w:pStyle w:val="ListParagraph"/>
              <w:numPr>
                <w:ilvl w:val="2"/>
                <w:numId w:val="15"/>
              </w:numPr>
              <w:ind w:left="2160"/>
              <w:contextualSpacing w:val="0"/>
              <w:jc w:val="both"/>
              <w:rPr>
                <w:highlight w:val="yellow"/>
              </w:rPr>
            </w:pPr>
            <w:r w:rsidRPr="00ED5033">
              <w:rPr>
                <w:highlight w:val="yellow"/>
              </w:rPr>
              <w:t>Enhancement on signaling mechanisms for the above features to improve latency and efficiency with more usage of dynamic control signaling (as opposed to RRC)</w:t>
            </w:r>
          </w:p>
          <w:p w14:paraId="795F8972" w14:textId="39639E95" w:rsidR="00F9093A" w:rsidRDefault="00F9093A" w:rsidP="00B7538C">
            <w:pPr>
              <w:pStyle w:val="ListParagraph"/>
              <w:numPr>
                <w:ilvl w:val="1"/>
                <w:numId w:val="15"/>
              </w:numPr>
              <w:ind w:left="1440"/>
              <w:contextualSpacing w:val="0"/>
              <w:jc w:val="both"/>
            </w:pPr>
            <w:r w:rsidRPr="00A5127C">
              <w:rPr>
                <w:highlight w:val="cyan"/>
              </w:rPr>
              <w:t>Identify and specify features to facilitate UL beam selection for UEs equipped with multiple panels, considering UL coverage loss mitigation due to MPE, based on UL beam indication with the unified TCI framework for UL fast panel selection</w:t>
            </w:r>
            <w:r w:rsidRPr="0051690F">
              <w:t xml:space="preserve"> </w:t>
            </w:r>
          </w:p>
        </w:tc>
      </w:tr>
    </w:tbl>
    <w:p w14:paraId="7EB9D827" w14:textId="77777777" w:rsidR="00F9093A" w:rsidRDefault="00F9093A" w:rsidP="00B7538C"/>
    <w:p w14:paraId="25C83FDD" w14:textId="1A89A3DA" w:rsidR="00F9093A" w:rsidRDefault="00F9093A" w:rsidP="00B7538C">
      <w:r>
        <w:t xml:space="preserve">As can be seen, this is somehow mixed with the </w:t>
      </w:r>
      <w:r w:rsidR="00A5127C" w:rsidRPr="00A5127C">
        <w:rPr>
          <w:highlight w:val="cyan"/>
        </w:rPr>
        <w:t xml:space="preserve">TCI state and </w:t>
      </w:r>
      <w:r w:rsidRPr="00A5127C">
        <w:rPr>
          <w:highlight w:val="cyan"/>
        </w:rPr>
        <w:t xml:space="preserve">beam management </w:t>
      </w:r>
      <w:r w:rsidR="00A5127C" w:rsidRPr="00A5127C">
        <w:rPr>
          <w:highlight w:val="cyan"/>
        </w:rPr>
        <w:t>work</w:t>
      </w:r>
      <w:r>
        <w:t>, so it's perhaps easier to separate the beam management aspects away from</w:t>
      </w:r>
      <w:r w:rsidR="00A5127C">
        <w:t xml:space="preserve"> the objective to help RAN2 discussion, which we have done </w:t>
      </w:r>
      <w:r w:rsidR="00A5127C" w:rsidRPr="00A5127C">
        <w:rPr>
          <w:highlight w:val="green"/>
        </w:rPr>
        <w:t>below</w:t>
      </w:r>
      <w:r>
        <w:t>:</w:t>
      </w:r>
    </w:p>
    <w:tbl>
      <w:tblPr>
        <w:tblStyle w:val="TableGrid"/>
        <w:tblW w:w="0" w:type="auto"/>
        <w:tblLook w:val="04A0" w:firstRow="1" w:lastRow="0" w:firstColumn="1" w:lastColumn="0" w:noHBand="0" w:noVBand="1"/>
      </w:tblPr>
      <w:tblGrid>
        <w:gridCol w:w="9631"/>
      </w:tblGrid>
      <w:tr w:rsidR="00F9093A" w14:paraId="24DF85E4" w14:textId="77777777" w:rsidTr="00F9093A">
        <w:tc>
          <w:tcPr>
            <w:tcW w:w="9631" w:type="dxa"/>
          </w:tcPr>
          <w:p w14:paraId="2E203586" w14:textId="77777777" w:rsidR="00F9093A" w:rsidRPr="00A5127C" w:rsidRDefault="00F9093A" w:rsidP="00F9093A">
            <w:pPr>
              <w:pStyle w:val="ListParagraph"/>
              <w:numPr>
                <w:ilvl w:val="0"/>
                <w:numId w:val="17"/>
              </w:numPr>
              <w:contextualSpacing w:val="0"/>
              <w:jc w:val="both"/>
              <w:rPr>
                <w:highlight w:val="green"/>
              </w:rPr>
            </w:pPr>
            <w:r w:rsidRPr="00A5127C">
              <w:rPr>
                <w:highlight w:val="green"/>
              </w:rPr>
              <w:lastRenderedPageBreak/>
              <w:t xml:space="preserve">Enhancement on multi-beam operation, mainly targeting FR2 while also applicable to FR1: </w:t>
            </w:r>
          </w:p>
          <w:p w14:paraId="24B22A47" w14:textId="77777777" w:rsidR="00F9093A" w:rsidRPr="00A5127C" w:rsidRDefault="00F9093A" w:rsidP="00F9093A">
            <w:pPr>
              <w:pStyle w:val="ListParagraph"/>
              <w:numPr>
                <w:ilvl w:val="0"/>
                <w:numId w:val="16"/>
              </w:numPr>
              <w:contextualSpacing w:val="0"/>
              <w:jc w:val="both"/>
              <w:rPr>
                <w:highlight w:val="green"/>
              </w:rPr>
            </w:pPr>
            <w:r w:rsidRPr="00A5127C">
              <w:rPr>
                <w:highlight w:val="green"/>
              </w:rPr>
              <w:t xml:space="preserve">Identify features to facilitate more efficient (lower latency and overhead) DL/UL beam management to support higher intra- and L1/L2-centric inter-cell mobility </w:t>
            </w:r>
          </w:p>
          <w:p w14:paraId="3F25B6B8" w14:textId="626ED5C6" w:rsidR="00F9093A" w:rsidRDefault="00F9093A" w:rsidP="00B7538C">
            <w:pPr>
              <w:pStyle w:val="ListParagraph"/>
              <w:numPr>
                <w:ilvl w:val="2"/>
                <w:numId w:val="17"/>
              </w:numPr>
              <w:ind w:left="2160"/>
              <w:contextualSpacing w:val="0"/>
              <w:jc w:val="both"/>
            </w:pPr>
            <w:r w:rsidRPr="00A5127C">
              <w:rPr>
                <w:highlight w:val="green"/>
              </w:rPr>
              <w:t>Enhancement on signaling mechanisms to improve latency and efficiency with more usage of dynamic control signaling (as opposed to RRC)</w:t>
            </w:r>
          </w:p>
        </w:tc>
      </w:tr>
    </w:tbl>
    <w:p w14:paraId="51E77832" w14:textId="77777777" w:rsidR="00F9093A" w:rsidRDefault="00F9093A" w:rsidP="00B7538C"/>
    <w:p w14:paraId="35920FC1" w14:textId="75E67904" w:rsidR="00ED5033" w:rsidRDefault="00ED5033" w:rsidP="00B7538C">
      <w:r w:rsidRPr="00ED5033">
        <w:rPr>
          <w:b/>
          <w:bCs/>
        </w:rPr>
        <w:t>Observation 1:</w:t>
      </w:r>
      <w:r>
        <w:t xml:space="preserve"> The goal of the L1/L2-centric mobility is to improve "beam change" latency and enable "more dynamic" inter-cell mobility (i.e. avoid reconfiguration with sync).</w:t>
      </w:r>
    </w:p>
    <w:p w14:paraId="4BEC26ED" w14:textId="71E8D05C" w:rsidR="009F4F40" w:rsidRDefault="00ED5033" w:rsidP="00ED5033">
      <w:r>
        <w:t>This is a reasonable goal</w:t>
      </w:r>
      <w:r w:rsidR="003F2975">
        <w:t xml:space="preserve"> and it's sensible to extend the multi-TRP work done in Rel-16 </w:t>
      </w:r>
      <w:r>
        <w:t xml:space="preserve">, but RAN2 history in discussing mobility-related procedures </w:t>
      </w:r>
      <w:r w:rsidR="00267F91">
        <w:t xml:space="preserve">has shown that such topics </w:t>
      </w:r>
      <w:r>
        <w:rPr>
          <w:b/>
          <w:bCs/>
        </w:rPr>
        <w:t xml:space="preserve">always </w:t>
      </w:r>
      <w:r>
        <w:t xml:space="preserve">become complicated </w:t>
      </w:r>
      <w:r w:rsidR="00267F91">
        <w:t xml:space="preserve">despite </w:t>
      </w:r>
      <w:r w:rsidR="00CF40A6">
        <w:t>the intentions not to</w:t>
      </w:r>
      <w:r>
        <w:t xml:space="preserve">. Hence, considering that the RAN2 TUs are limited, it will be necessary to consider what is the minimum RAN2 can do in Rel-17 timeframe to help RAN1 work to progress. To that end, the RAN1 LS </w:t>
      </w:r>
      <w:hyperlink r:id="rId17" w:history="1">
        <w:r w:rsidRPr="00B952C2">
          <w:rPr>
            <w:rStyle w:val="Hyperlink"/>
            <w:rFonts w:cs="Arial"/>
          </w:rPr>
          <w:t>R1-2102248</w:t>
        </w:r>
      </w:hyperlink>
      <w:r>
        <w:t xml:space="preserve"> provides a structure: While it </w:t>
      </w:r>
      <w:r w:rsidR="009F4F40">
        <w:t xml:space="preserve">encompasses quite a diverse range of issues concerning the usage of "non-serving cell" for L1/L2 mobility, </w:t>
      </w:r>
      <w:r>
        <w:t xml:space="preserve">one way to categorize the questions is </w:t>
      </w:r>
      <w:r w:rsidR="009F4F40">
        <w:t>as follow</w:t>
      </w:r>
      <w:r>
        <w:t>s</w:t>
      </w:r>
      <w:r w:rsidR="009F4F40">
        <w:t>:</w:t>
      </w:r>
    </w:p>
    <w:p w14:paraId="5F64159B" w14:textId="4416D5BB" w:rsidR="009F4F40" w:rsidRPr="00A5127C" w:rsidRDefault="00A5127C" w:rsidP="009F4F40">
      <w:pPr>
        <w:pStyle w:val="B1"/>
        <w:rPr>
          <w:b/>
          <w:bCs/>
        </w:rPr>
      </w:pPr>
      <w:r w:rsidRPr="00A5127C">
        <w:rPr>
          <w:b/>
          <w:bCs/>
        </w:rPr>
        <w:t>1.</w:t>
      </w:r>
      <w:r w:rsidR="009F4F40" w:rsidRPr="00A5127C">
        <w:rPr>
          <w:b/>
          <w:bCs/>
        </w:rPr>
        <w:tab/>
        <w:t>Protocol impacts (Q1 and Q2, RAN2 only)</w:t>
      </w:r>
    </w:p>
    <w:p w14:paraId="1D9DB620" w14:textId="0B06244B" w:rsidR="009F4F40" w:rsidRPr="00A5127C" w:rsidRDefault="00A5127C" w:rsidP="009F4F40">
      <w:pPr>
        <w:pStyle w:val="B1"/>
        <w:rPr>
          <w:b/>
          <w:bCs/>
        </w:rPr>
      </w:pPr>
      <w:r w:rsidRPr="00A5127C">
        <w:rPr>
          <w:b/>
          <w:bCs/>
        </w:rPr>
        <w:t>2.</w:t>
      </w:r>
      <w:r w:rsidR="009F4F40" w:rsidRPr="00A5127C">
        <w:rPr>
          <w:b/>
          <w:bCs/>
        </w:rPr>
        <w:tab/>
        <w:t>CU/DU-split impacts (Q3 and Q4, RAN2</w:t>
      </w:r>
      <w:r>
        <w:rPr>
          <w:b/>
          <w:bCs/>
        </w:rPr>
        <w:t xml:space="preserve"> and RAN</w:t>
      </w:r>
      <w:r w:rsidR="009F4F40" w:rsidRPr="00A5127C">
        <w:rPr>
          <w:b/>
          <w:bCs/>
        </w:rPr>
        <w:t>3)</w:t>
      </w:r>
    </w:p>
    <w:p w14:paraId="60F987FA" w14:textId="60E1FD6B" w:rsidR="009F4F40" w:rsidRPr="00A5127C" w:rsidRDefault="00A5127C" w:rsidP="009F4F40">
      <w:pPr>
        <w:pStyle w:val="B1"/>
        <w:rPr>
          <w:b/>
          <w:bCs/>
        </w:rPr>
      </w:pPr>
      <w:r w:rsidRPr="00A5127C">
        <w:rPr>
          <w:b/>
          <w:bCs/>
        </w:rPr>
        <w:t>3.</w:t>
      </w:r>
      <w:r w:rsidR="009F4F40" w:rsidRPr="00A5127C">
        <w:rPr>
          <w:b/>
          <w:bCs/>
        </w:rPr>
        <w:tab/>
        <w:t>CA and RF impacts (RAN2</w:t>
      </w:r>
      <w:r>
        <w:rPr>
          <w:b/>
          <w:bCs/>
        </w:rPr>
        <w:t xml:space="preserve"> and RAN</w:t>
      </w:r>
      <w:r w:rsidR="009F4F40" w:rsidRPr="00A5127C">
        <w:rPr>
          <w:b/>
          <w:bCs/>
        </w:rPr>
        <w:t>4).</w:t>
      </w:r>
    </w:p>
    <w:p w14:paraId="4BCC22B7" w14:textId="26133749" w:rsidR="009F4F40" w:rsidRDefault="00A5127C" w:rsidP="007A2E55">
      <w:r>
        <w:t>Since there are many details involved in each category, w</w:t>
      </w:r>
      <w:r w:rsidR="009F4F40">
        <w:t>e discuss each of these separately in the followin</w:t>
      </w:r>
      <w:r>
        <w:t>g</w:t>
      </w:r>
      <w:r w:rsidR="009F4F40">
        <w:t xml:space="preserve"> sections.</w:t>
      </w:r>
    </w:p>
    <w:p w14:paraId="597C12A5" w14:textId="54EF52F7" w:rsidR="009F4F40" w:rsidRPr="006E13D1" w:rsidRDefault="009F4F40" w:rsidP="009F4F40">
      <w:pPr>
        <w:pStyle w:val="Heading2"/>
      </w:pPr>
      <w:r>
        <w:t>2</w:t>
      </w:r>
      <w:r w:rsidRPr="006E13D1">
        <w:t>.2</w:t>
      </w:r>
      <w:r w:rsidRPr="006E13D1">
        <w:tab/>
      </w:r>
      <w:r>
        <w:t>Protocol impacts of L1/L2 mobility</w:t>
      </w:r>
    </w:p>
    <w:p w14:paraId="4CFB230A" w14:textId="0B8E5C40" w:rsidR="009F4F40" w:rsidRDefault="00A5127C" w:rsidP="007A2E55">
      <w:r>
        <w:t xml:space="preserve">The questions 1 and 2 in the RAN1 LS </w:t>
      </w:r>
      <w:hyperlink r:id="rId18" w:history="1">
        <w:r w:rsidRPr="00B952C2">
          <w:rPr>
            <w:rStyle w:val="Hyperlink"/>
            <w:rFonts w:cs="Arial"/>
          </w:rPr>
          <w:t>R1-2102248</w:t>
        </w:r>
      </w:hyperlink>
      <w:r>
        <w:t xml:space="preserve"> concern join transmission to and reception from </w:t>
      </w:r>
      <w:r w:rsidRPr="00A5127C">
        <w:rPr>
          <w:highlight w:val="yellow"/>
        </w:rPr>
        <w:t>serving cell</w:t>
      </w:r>
      <w:r>
        <w:t xml:space="preserve"> and the </w:t>
      </w:r>
      <w:r w:rsidRPr="00A5127C">
        <w:rPr>
          <w:highlight w:val="cyan"/>
        </w:rPr>
        <w:t>non-serving cell</w:t>
      </w:r>
      <w:r>
        <w:t xml:space="preserve">. </w:t>
      </w:r>
      <w:r w:rsidR="007F07DA">
        <w:t xml:space="preserve">The highlights below illustrate one possible way to separate the questions related to </w:t>
      </w:r>
      <w:r w:rsidR="00D26CD0">
        <w:t xml:space="preserve">serving and non-serving </w:t>
      </w:r>
      <w:r w:rsidR="007F07DA">
        <w:t>cell</w:t>
      </w:r>
      <w:r w:rsidR="00D26CD0">
        <w:t>s</w:t>
      </w:r>
      <w:r w:rsidR="007F07DA">
        <w:t>.</w:t>
      </w:r>
    </w:p>
    <w:tbl>
      <w:tblPr>
        <w:tblStyle w:val="TableGrid"/>
        <w:tblW w:w="0" w:type="auto"/>
        <w:tblLook w:val="04A0" w:firstRow="1" w:lastRow="0" w:firstColumn="1" w:lastColumn="0" w:noHBand="0" w:noVBand="1"/>
      </w:tblPr>
      <w:tblGrid>
        <w:gridCol w:w="9631"/>
      </w:tblGrid>
      <w:tr w:rsidR="009F4F40" w14:paraId="1880D38F" w14:textId="77777777" w:rsidTr="003042F9">
        <w:trPr>
          <w:trHeight w:val="5241"/>
        </w:trPr>
        <w:tc>
          <w:tcPr>
            <w:tcW w:w="9631" w:type="dxa"/>
          </w:tcPr>
          <w:p w14:paraId="6E5FA602" w14:textId="77777777" w:rsidR="009F4F40" w:rsidRDefault="009F4F40" w:rsidP="009F4F40">
            <w:pPr>
              <w:snapToGrid w:val="0"/>
              <w:jc w:val="both"/>
              <w:rPr>
                <w:sz w:val="22"/>
                <w:szCs w:val="22"/>
                <w:lang w:eastAsia="zh-CN"/>
              </w:rPr>
            </w:pPr>
            <w:r>
              <w:rPr>
                <w:b/>
                <w:bCs/>
                <w:sz w:val="22"/>
                <w:szCs w:val="22"/>
                <w:lang w:eastAsia="zh-CN"/>
              </w:rPr>
              <w:t>Question 1</w:t>
            </w:r>
            <w:r w:rsidRPr="00983833">
              <w:rPr>
                <w:sz w:val="22"/>
                <w:szCs w:val="22"/>
                <w:lang w:eastAsia="zh-CN"/>
              </w:rPr>
              <w:t>:</w:t>
            </w:r>
            <w:r>
              <w:rPr>
                <w:sz w:val="22"/>
                <w:szCs w:val="22"/>
                <w:lang w:eastAsia="zh-CN"/>
              </w:rPr>
              <w:t xml:space="preserve"> </w:t>
            </w:r>
            <w:r w:rsidRPr="008A32A6">
              <w:rPr>
                <w:sz w:val="22"/>
                <w:szCs w:val="22"/>
                <w:highlight w:val="yellow"/>
                <w:lang w:eastAsia="zh-CN"/>
              </w:rPr>
              <w:t>In regard of serving cell,</w:t>
            </w:r>
            <w:r>
              <w:rPr>
                <w:sz w:val="22"/>
                <w:szCs w:val="22"/>
                <w:lang w:eastAsia="zh-CN"/>
              </w:rPr>
              <w:t xml:space="preserve"> </w:t>
            </w:r>
          </w:p>
          <w:p w14:paraId="66709F7F" w14:textId="77777777" w:rsidR="009F4F40" w:rsidRPr="00CE21EA" w:rsidRDefault="009F4F40" w:rsidP="009F4F40">
            <w:pPr>
              <w:pStyle w:val="ListParagraph"/>
              <w:numPr>
                <w:ilvl w:val="0"/>
                <w:numId w:val="13"/>
              </w:numPr>
              <w:snapToGrid w:val="0"/>
              <w:jc w:val="both"/>
              <w:rPr>
                <w:sz w:val="22"/>
                <w:szCs w:val="22"/>
                <w:lang w:eastAsia="zh-CN"/>
              </w:rPr>
            </w:pPr>
            <w:r w:rsidRPr="00A5127C">
              <w:rPr>
                <w:sz w:val="22"/>
                <w:highlight w:val="yellow"/>
                <w:lang w:val="en-US" w:eastAsia="zh-CN"/>
              </w:rPr>
              <w:t xml:space="preserve">Is there a need for </w:t>
            </w:r>
            <w:r w:rsidRPr="00A5127C">
              <w:rPr>
                <w:sz w:val="22"/>
                <w:highlight w:val="yellow"/>
                <w:lang w:eastAsia="zh-CN"/>
              </w:rPr>
              <w:t xml:space="preserve">a UE </w:t>
            </w:r>
            <w:r w:rsidRPr="00A5127C">
              <w:rPr>
                <w:sz w:val="22"/>
                <w:highlight w:val="yellow"/>
                <w:lang w:val="en-US" w:eastAsia="zh-CN"/>
              </w:rPr>
              <w:t>to</w:t>
            </w:r>
            <w:r w:rsidRPr="00A5127C">
              <w:rPr>
                <w:sz w:val="22"/>
                <w:highlight w:val="yellow"/>
                <w:lang w:eastAsia="zh-CN"/>
              </w:rPr>
              <w:t xml:space="preserve"> change </w:t>
            </w:r>
            <w:r w:rsidRPr="00A5127C">
              <w:rPr>
                <w:sz w:val="22"/>
                <w:highlight w:val="yellow"/>
                <w:lang w:val="en-US" w:eastAsia="zh-CN"/>
              </w:rPr>
              <w:t>a</w:t>
            </w:r>
            <w:r w:rsidRPr="00A5127C">
              <w:rPr>
                <w:sz w:val="22"/>
                <w:highlight w:val="yellow"/>
                <w:lang w:eastAsia="zh-CN"/>
              </w:rPr>
              <w:t xml:space="preserve"> serving cell for DL reception from or UL transmission</w:t>
            </w:r>
            <w:r w:rsidRPr="00CE21EA">
              <w:rPr>
                <w:sz w:val="22"/>
                <w:lang w:eastAsia="zh-CN"/>
              </w:rPr>
              <w:t xml:space="preserve"> </w:t>
            </w:r>
            <w:r w:rsidRPr="00A5127C">
              <w:rPr>
                <w:sz w:val="22"/>
                <w:highlight w:val="cyan"/>
                <w:lang w:eastAsia="zh-CN"/>
              </w:rPr>
              <w:t>to another (non-serving) cell</w:t>
            </w:r>
            <w:r w:rsidRPr="00A5127C">
              <w:rPr>
                <w:sz w:val="22"/>
                <w:highlight w:val="cyan"/>
                <w:lang w:eastAsia="ja-JP"/>
              </w:rPr>
              <w:t xml:space="preserve">, </w:t>
            </w:r>
            <w:r w:rsidRPr="00A5127C">
              <w:rPr>
                <w:sz w:val="22"/>
                <w:highlight w:val="cyan"/>
                <w:lang w:eastAsia="zh-CN"/>
              </w:rPr>
              <w:t>at least on UE-dedicated PDSCH, PDCCH, PUSCH, and PUCCH?</w:t>
            </w:r>
            <w:r w:rsidRPr="00CE21EA">
              <w:rPr>
                <w:sz w:val="22"/>
                <w:lang w:eastAsia="zh-CN"/>
              </w:rPr>
              <w:t xml:space="preserve"> </w:t>
            </w:r>
          </w:p>
          <w:p w14:paraId="09A3C63F" w14:textId="77777777" w:rsidR="009F4F40" w:rsidRPr="00A5127C" w:rsidRDefault="009F4F40" w:rsidP="009F4F40">
            <w:pPr>
              <w:pStyle w:val="ListParagraph"/>
              <w:numPr>
                <w:ilvl w:val="0"/>
                <w:numId w:val="13"/>
              </w:numPr>
              <w:snapToGrid w:val="0"/>
              <w:jc w:val="both"/>
              <w:rPr>
                <w:sz w:val="22"/>
                <w:szCs w:val="22"/>
                <w:highlight w:val="cyan"/>
                <w:lang w:eastAsia="zh-CN"/>
              </w:rPr>
            </w:pPr>
            <w:r w:rsidRPr="00A5127C">
              <w:rPr>
                <w:sz w:val="22"/>
                <w:highlight w:val="cyan"/>
                <w:lang w:eastAsia="zh-CN"/>
              </w:rPr>
              <w:t xml:space="preserve">If so, </w:t>
            </w:r>
            <w:r w:rsidRPr="00A5127C">
              <w:rPr>
                <w:sz w:val="22"/>
                <w:szCs w:val="22"/>
                <w:highlight w:val="cyan"/>
                <w:lang w:eastAsia="zh-CN"/>
              </w:rPr>
              <w:t>how can the addition, release or change of a non-serving cell for DL reception and/or UL transmission be done</w:t>
            </w:r>
            <w:r w:rsidRPr="00A5127C">
              <w:rPr>
                <w:sz w:val="22"/>
                <w:szCs w:val="22"/>
                <w:highlight w:val="cyan"/>
                <w:lang w:val="en-US" w:eastAsia="zh-CN"/>
              </w:rPr>
              <w:t>?</w:t>
            </w:r>
            <w:r w:rsidRPr="00A5127C">
              <w:rPr>
                <w:sz w:val="22"/>
                <w:highlight w:val="cyan"/>
                <w:lang w:val="en-US" w:eastAsia="zh-CN"/>
              </w:rPr>
              <w:t xml:space="preserve"> For example, would any of such actions require </w:t>
            </w:r>
            <w:r w:rsidRPr="00A5127C">
              <w:rPr>
                <w:sz w:val="22"/>
                <w:highlight w:val="cyan"/>
                <w:lang w:eastAsia="zh-CN"/>
              </w:rPr>
              <w:t xml:space="preserve">L3 handover </w:t>
            </w:r>
            <w:r w:rsidRPr="00A5127C">
              <w:rPr>
                <w:sz w:val="22"/>
                <w:highlight w:val="cyan"/>
                <w:lang w:val="en-US" w:eastAsia="zh-CN"/>
              </w:rPr>
              <w:t xml:space="preserve">and/or selection/activation among pre-configured candidate cells </w:t>
            </w:r>
            <w:r w:rsidRPr="00A5127C">
              <w:rPr>
                <w:sz w:val="22"/>
                <w:highlight w:val="cyan"/>
                <w:lang w:eastAsia="zh-CN"/>
              </w:rPr>
              <w:t>from RAN2 perspective?</w:t>
            </w:r>
          </w:p>
          <w:p w14:paraId="6AF92312" w14:textId="77777777" w:rsidR="009F4F40" w:rsidRPr="00A5127C" w:rsidRDefault="009F4F40" w:rsidP="009F4F40">
            <w:pPr>
              <w:pStyle w:val="ListParagraph"/>
              <w:numPr>
                <w:ilvl w:val="0"/>
                <w:numId w:val="13"/>
              </w:numPr>
              <w:snapToGrid w:val="0"/>
              <w:jc w:val="both"/>
              <w:rPr>
                <w:sz w:val="22"/>
                <w:szCs w:val="22"/>
                <w:highlight w:val="yellow"/>
                <w:lang w:eastAsia="zh-CN"/>
              </w:rPr>
            </w:pPr>
            <w:r w:rsidRPr="00A5127C">
              <w:rPr>
                <w:sz w:val="22"/>
                <w:szCs w:val="22"/>
                <w:highlight w:val="yellow"/>
                <w:lang w:val="en-US" w:eastAsia="zh-CN"/>
              </w:rPr>
              <w:t xml:space="preserve">If so, </w:t>
            </w:r>
            <w:r w:rsidRPr="00A5127C">
              <w:rPr>
                <w:sz w:val="22"/>
                <w:szCs w:val="22"/>
                <w:highlight w:val="yellow"/>
                <w:lang w:eastAsia="zh-CN"/>
              </w:rPr>
              <w:t>how can</w:t>
            </w:r>
            <w:r w:rsidRPr="00A5127C">
              <w:rPr>
                <w:sz w:val="22"/>
                <w:szCs w:val="22"/>
                <w:highlight w:val="yellow"/>
                <w:lang w:val="en-US" w:eastAsia="zh-CN"/>
              </w:rPr>
              <w:t xml:space="preserve"> the TCI states associated with the previous serving cell be handled?</w:t>
            </w:r>
          </w:p>
          <w:p w14:paraId="72C34E9D" w14:textId="77777777" w:rsidR="009F4F40" w:rsidRPr="00A5127C" w:rsidRDefault="009F4F40" w:rsidP="009F4F40">
            <w:pPr>
              <w:pStyle w:val="ListParagraph"/>
              <w:numPr>
                <w:ilvl w:val="0"/>
                <w:numId w:val="13"/>
              </w:numPr>
              <w:snapToGrid w:val="0"/>
              <w:jc w:val="both"/>
              <w:rPr>
                <w:sz w:val="22"/>
                <w:szCs w:val="22"/>
                <w:highlight w:val="yellow"/>
                <w:lang w:eastAsia="zh-CN"/>
              </w:rPr>
            </w:pPr>
            <w:r w:rsidRPr="00A5127C">
              <w:rPr>
                <w:sz w:val="22"/>
                <w:szCs w:val="22"/>
                <w:highlight w:val="yellow"/>
                <w:lang w:val="en-US" w:eastAsia="zh-CN"/>
              </w:rPr>
              <w:t>If so, what is the impact on the system information reception by the UE?</w:t>
            </w:r>
          </w:p>
          <w:p w14:paraId="49ABDE96" w14:textId="77777777" w:rsidR="009F4F40" w:rsidRPr="00A5127C" w:rsidRDefault="009F4F40" w:rsidP="009F4F40">
            <w:pPr>
              <w:pStyle w:val="ListParagraph"/>
              <w:numPr>
                <w:ilvl w:val="0"/>
                <w:numId w:val="13"/>
              </w:numPr>
              <w:snapToGrid w:val="0"/>
              <w:jc w:val="both"/>
              <w:rPr>
                <w:sz w:val="22"/>
                <w:szCs w:val="22"/>
                <w:highlight w:val="yellow"/>
                <w:lang w:eastAsia="zh-CN"/>
              </w:rPr>
            </w:pPr>
            <w:r w:rsidRPr="00A5127C">
              <w:rPr>
                <w:sz w:val="22"/>
                <w:szCs w:val="22"/>
                <w:highlight w:val="yellow"/>
                <w:lang w:val="en-US" w:eastAsia="zh-CN"/>
              </w:rPr>
              <w:t>If so, what is the impact on the RACH and PUCCH-related procedures and configurations?</w:t>
            </w:r>
          </w:p>
          <w:p w14:paraId="6186FC94" w14:textId="77777777" w:rsidR="009F4F40" w:rsidRPr="00A5127C" w:rsidRDefault="009F4F40" w:rsidP="009F4F40">
            <w:pPr>
              <w:pStyle w:val="ListParagraph"/>
              <w:numPr>
                <w:ilvl w:val="0"/>
                <w:numId w:val="13"/>
              </w:numPr>
              <w:snapToGrid w:val="0"/>
              <w:jc w:val="both"/>
              <w:rPr>
                <w:sz w:val="22"/>
                <w:szCs w:val="22"/>
                <w:highlight w:val="cyan"/>
                <w:lang w:eastAsia="zh-CN"/>
              </w:rPr>
            </w:pPr>
            <w:r w:rsidRPr="00A5127C">
              <w:rPr>
                <w:sz w:val="22"/>
                <w:szCs w:val="22"/>
                <w:highlight w:val="cyan"/>
                <w:lang w:val="en-US" w:eastAsia="zh-CN"/>
              </w:rPr>
              <w:t xml:space="preserve">If not, what is the impact on the applicable use cases? That is, in what scenarios can the UE be configured </w:t>
            </w:r>
            <w:r w:rsidRPr="00A5127C">
              <w:rPr>
                <w:sz w:val="22"/>
                <w:highlight w:val="cyan"/>
                <w:lang w:eastAsia="zh-CN"/>
              </w:rPr>
              <w:t>for DL reception from or UL transmission to another (non-serving) cell</w:t>
            </w:r>
            <w:r w:rsidRPr="00A5127C">
              <w:rPr>
                <w:sz w:val="22"/>
                <w:highlight w:val="cyan"/>
                <w:lang w:eastAsia="ja-JP"/>
              </w:rPr>
              <w:t xml:space="preserve">, </w:t>
            </w:r>
            <w:r w:rsidRPr="00A5127C">
              <w:rPr>
                <w:sz w:val="22"/>
                <w:highlight w:val="cyan"/>
                <w:lang w:eastAsia="zh-CN"/>
              </w:rPr>
              <w:t>at least on UE-dedicated PDSCH, PDCCH, PUSCH, and PUCCH</w:t>
            </w:r>
            <w:r w:rsidRPr="00A5127C">
              <w:rPr>
                <w:sz w:val="22"/>
                <w:highlight w:val="cyan"/>
                <w:lang w:val="en-US" w:eastAsia="zh-CN"/>
              </w:rPr>
              <w:t>, if the serving cell does not change?</w:t>
            </w:r>
          </w:p>
          <w:p w14:paraId="12949CAD" w14:textId="77777777" w:rsidR="009F4F40" w:rsidRDefault="009F4F40" w:rsidP="009F4F40">
            <w:pPr>
              <w:snapToGrid w:val="0"/>
              <w:jc w:val="both"/>
              <w:rPr>
                <w:b/>
                <w:bCs/>
                <w:sz w:val="22"/>
                <w:szCs w:val="22"/>
                <w:lang w:eastAsia="zh-CN"/>
              </w:rPr>
            </w:pPr>
          </w:p>
          <w:p w14:paraId="6A4B4354" w14:textId="77777777" w:rsidR="009F4F40" w:rsidRPr="00A5127C" w:rsidRDefault="009F4F40" w:rsidP="009F4F40">
            <w:pPr>
              <w:snapToGrid w:val="0"/>
              <w:jc w:val="both"/>
              <w:rPr>
                <w:sz w:val="22"/>
                <w:szCs w:val="22"/>
                <w:highlight w:val="cyan"/>
                <w:lang w:eastAsia="zh-CN"/>
              </w:rPr>
            </w:pPr>
            <w:bookmarkStart w:id="0" w:name="_Hlk68042100"/>
            <w:r w:rsidRPr="00983833">
              <w:rPr>
                <w:b/>
                <w:bCs/>
                <w:sz w:val="22"/>
                <w:szCs w:val="22"/>
                <w:lang w:eastAsia="zh-CN"/>
              </w:rPr>
              <w:t xml:space="preserve">Question </w:t>
            </w:r>
            <w:r>
              <w:rPr>
                <w:b/>
                <w:bCs/>
                <w:sz w:val="22"/>
                <w:szCs w:val="22"/>
                <w:lang w:eastAsia="zh-CN"/>
              </w:rPr>
              <w:t>2</w:t>
            </w:r>
            <w:r w:rsidRPr="00983833">
              <w:rPr>
                <w:sz w:val="22"/>
                <w:szCs w:val="22"/>
                <w:lang w:eastAsia="zh-CN"/>
              </w:rPr>
              <w:t>:</w:t>
            </w:r>
            <w:r>
              <w:rPr>
                <w:sz w:val="22"/>
                <w:szCs w:val="22"/>
                <w:lang w:eastAsia="zh-CN"/>
              </w:rPr>
              <w:t xml:space="preserve"> </w:t>
            </w:r>
            <w:r w:rsidRPr="00A5127C">
              <w:rPr>
                <w:sz w:val="22"/>
                <w:szCs w:val="22"/>
                <w:highlight w:val="cyan"/>
                <w:lang w:eastAsia="zh-CN"/>
              </w:rPr>
              <w:t xml:space="preserve">In regard of RRC configuration, RAN1 is discussing whether to allow a UE to be configured </w:t>
            </w:r>
            <w:r w:rsidRPr="00A5127C">
              <w:rPr>
                <w:sz w:val="22"/>
                <w:highlight w:val="cyan"/>
                <w:lang w:eastAsia="zh-CN"/>
              </w:rPr>
              <w:t>for DL reception</w:t>
            </w:r>
            <w:r w:rsidRPr="00A5127C">
              <w:rPr>
                <w:sz w:val="22"/>
                <w:highlight w:val="cyan"/>
                <w:lang w:val="en-US" w:eastAsia="zh-CN"/>
              </w:rPr>
              <w:t xml:space="preserve"> from</w:t>
            </w:r>
            <w:r w:rsidRPr="00A5127C">
              <w:rPr>
                <w:sz w:val="22"/>
                <w:highlight w:val="cyan"/>
                <w:lang w:eastAsia="zh-CN"/>
              </w:rPr>
              <w:t xml:space="preserve"> </w:t>
            </w:r>
            <w:r w:rsidRPr="00A5127C">
              <w:rPr>
                <w:sz w:val="22"/>
                <w:highlight w:val="cyan"/>
                <w:lang w:val="en-US" w:eastAsia="zh-CN"/>
              </w:rPr>
              <w:t xml:space="preserve">or </w:t>
            </w:r>
            <w:r w:rsidRPr="00A5127C">
              <w:rPr>
                <w:sz w:val="22"/>
                <w:highlight w:val="cyan"/>
                <w:lang w:eastAsia="zh-CN"/>
              </w:rPr>
              <w:t>UL transmission</w:t>
            </w:r>
            <w:r w:rsidRPr="00A5127C">
              <w:rPr>
                <w:sz w:val="22"/>
                <w:highlight w:val="cyan"/>
                <w:lang w:val="en-US" w:eastAsia="zh-CN"/>
              </w:rPr>
              <w:t xml:space="preserve"> to a non-serving cell</w:t>
            </w:r>
            <w:r w:rsidRPr="00A5127C">
              <w:rPr>
                <w:sz w:val="22"/>
                <w:highlight w:val="cyan"/>
                <w:lang w:eastAsia="zh-CN"/>
              </w:rPr>
              <w:t xml:space="preserve"> on UE-dedicated PDSCH, PDCCH, PUSCH, and PUCCH</w:t>
            </w:r>
            <w:r w:rsidRPr="00A5127C">
              <w:rPr>
                <w:sz w:val="22"/>
                <w:szCs w:val="22"/>
                <w:highlight w:val="cyan"/>
                <w:lang w:eastAsia="zh-CN"/>
              </w:rPr>
              <w:t>. From RAN2 perspective</w:t>
            </w:r>
          </w:p>
          <w:p w14:paraId="6462ED57" w14:textId="77777777" w:rsidR="009F4F40" w:rsidRPr="00A5127C" w:rsidRDefault="009F4F40" w:rsidP="009F4F40">
            <w:pPr>
              <w:pStyle w:val="ListParagraph"/>
              <w:numPr>
                <w:ilvl w:val="0"/>
                <w:numId w:val="8"/>
              </w:numPr>
              <w:snapToGrid w:val="0"/>
              <w:jc w:val="both"/>
              <w:rPr>
                <w:sz w:val="22"/>
                <w:szCs w:val="22"/>
                <w:highlight w:val="cyan"/>
                <w:lang w:eastAsia="zh-CN"/>
              </w:rPr>
            </w:pPr>
            <w:r w:rsidRPr="00A5127C">
              <w:rPr>
                <w:sz w:val="22"/>
                <w:highlight w:val="cyan"/>
                <w:lang w:eastAsia="zh-CN"/>
              </w:rPr>
              <w:t>D</w:t>
            </w:r>
            <w:r w:rsidRPr="00A5127C">
              <w:rPr>
                <w:sz w:val="22"/>
                <w:highlight w:val="cyan"/>
                <w:lang w:val="en-US" w:eastAsia="zh-CN"/>
              </w:rPr>
              <w:t>epending on the answer to question 1-1, what would be the impact</w:t>
            </w:r>
            <w:r w:rsidRPr="00A5127C">
              <w:rPr>
                <w:sz w:val="22"/>
                <w:highlight w:val="cyan"/>
                <w:lang w:eastAsia="zh-CN"/>
              </w:rPr>
              <w:t xml:space="preserve"> of allowing </w:t>
            </w:r>
            <w:r w:rsidRPr="00A5127C">
              <w:rPr>
                <w:sz w:val="22"/>
                <w:highlight w:val="cyan"/>
                <w:lang w:val="en-US" w:eastAsia="zh-CN"/>
              </w:rPr>
              <w:t xml:space="preserve">the </w:t>
            </w:r>
            <w:r w:rsidRPr="00A5127C">
              <w:rPr>
                <w:sz w:val="22"/>
                <w:highlight w:val="cyan"/>
                <w:lang w:eastAsia="zh-CN"/>
              </w:rPr>
              <w:t xml:space="preserve">UE to </w:t>
            </w:r>
            <w:r w:rsidRPr="00A5127C">
              <w:rPr>
                <w:sz w:val="22"/>
                <w:highlight w:val="cyan"/>
                <w:lang w:val="en-US" w:eastAsia="zh-CN"/>
              </w:rPr>
              <w:t xml:space="preserve">transmit and/or </w:t>
            </w:r>
            <w:r w:rsidRPr="00A5127C">
              <w:rPr>
                <w:sz w:val="22"/>
                <w:highlight w:val="cyan"/>
                <w:lang w:eastAsia="zh-CN"/>
              </w:rPr>
              <w:t xml:space="preserve">receive </w:t>
            </w:r>
            <w:r w:rsidRPr="00A5127C">
              <w:rPr>
                <w:sz w:val="22"/>
                <w:highlight w:val="cyan"/>
                <w:lang w:val="en-US" w:eastAsia="zh-CN"/>
              </w:rPr>
              <w:t xml:space="preserve">on </w:t>
            </w:r>
            <w:r w:rsidRPr="00A5127C">
              <w:rPr>
                <w:sz w:val="22"/>
                <w:highlight w:val="cyan"/>
                <w:lang w:eastAsia="zh-CN"/>
              </w:rPr>
              <w:t>some or all of</w:t>
            </w:r>
            <w:r w:rsidRPr="00A5127C">
              <w:rPr>
                <w:sz w:val="22"/>
                <w:highlight w:val="cyan"/>
                <w:lang w:val="en-US" w:eastAsia="zh-CN"/>
              </w:rPr>
              <w:t xml:space="preserve"> those</w:t>
            </w:r>
            <w:r w:rsidRPr="00A5127C">
              <w:rPr>
                <w:sz w:val="22"/>
                <w:highlight w:val="cyan"/>
                <w:lang w:eastAsia="zh-CN"/>
              </w:rPr>
              <w:t xml:space="preserve"> channels and</w:t>
            </w:r>
            <w:r w:rsidRPr="00A5127C">
              <w:rPr>
                <w:sz w:val="22"/>
                <w:highlight w:val="cyan"/>
                <w:lang w:val="en-US" w:eastAsia="zh-CN"/>
              </w:rPr>
              <w:t xml:space="preserve"> which RRC parameter(s)</w:t>
            </w:r>
            <w:r w:rsidRPr="00A5127C">
              <w:rPr>
                <w:sz w:val="22"/>
                <w:highlight w:val="cyan"/>
                <w:lang w:eastAsia="zh-CN"/>
              </w:rPr>
              <w:t xml:space="preserve"> would need to be </w:t>
            </w:r>
            <w:r w:rsidRPr="00A5127C">
              <w:rPr>
                <w:sz w:val="22"/>
                <w:highlight w:val="cyan"/>
                <w:lang w:val="en-US" w:eastAsia="zh-CN"/>
              </w:rPr>
              <w:t>re</w:t>
            </w:r>
            <w:r w:rsidRPr="00A5127C">
              <w:rPr>
                <w:sz w:val="22"/>
                <w:highlight w:val="cyan"/>
                <w:lang w:eastAsia="zh-CN"/>
              </w:rPr>
              <w:t>configured for the UE</w:t>
            </w:r>
            <w:r w:rsidRPr="00A5127C">
              <w:rPr>
                <w:sz w:val="22"/>
                <w:highlight w:val="cyan"/>
                <w:lang w:val="en-US" w:eastAsia="zh-CN"/>
              </w:rPr>
              <w:t xml:space="preserve">? </w:t>
            </w:r>
          </w:p>
          <w:p w14:paraId="55CF9B2C" w14:textId="14529F83" w:rsidR="009F4F40" w:rsidRPr="009F4F40" w:rsidRDefault="009F4F40" w:rsidP="009F4F40">
            <w:pPr>
              <w:pStyle w:val="ListParagraph"/>
              <w:numPr>
                <w:ilvl w:val="0"/>
                <w:numId w:val="8"/>
              </w:numPr>
              <w:snapToGrid w:val="0"/>
              <w:jc w:val="both"/>
              <w:rPr>
                <w:sz w:val="22"/>
                <w:szCs w:val="22"/>
                <w:lang w:eastAsia="zh-CN"/>
              </w:rPr>
            </w:pPr>
            <w:r w:rsidRPr="00A5127C">
              <w:rPr>
                <w:sz w:val="22"/>
                <w:szCs w:val="22"/>
                <w:highlight w:val="cyan"/>
                <w:lang w:val="en-US" w:eastAsia="zh-CN"/>
              </w:rPr>
              <w:t>Is it feasible to update</w:t>
            </w:r>
            <w:r w:rsidRPr="00A5127C">
              <w:rPr>
                <w:sz w:val="22"/>
                <w:szCs w:val="22"/>
                <w:highlight w:val="cyan"/>
                <w:lang w:eastAsia="zh-CN"/>
              </w:rPr>
              <w:t xml:space="preserve"> </w:t>
            </w:r>
            <w:r w:rsidRPr="00A5127C">
              <w:rPr>
                <w:sz w:val="22"/>
                <w:szCs w:val="20"/>
                <w:highlight w:val="cyan"/>
                <w:lang w:eastAsia="zh-CN"/>
              </w:rPr>
              <w:t xml:space="preserve">some </w:t>
            </w:r>
            <w:r w:rsidRPr="00A5127C">
              <w:rPr>
                <w:sz w:val="22"/>
                <w:szCs w:val="20"/>
                <w:highlight w:val="cyan"/>
                <w:lang w:val="en-US" w:eastAsia="zh-CN"/>
              </w:rPr>
              <w:t xml:space="preserve">of the above </w:t>
            </w:r>
            <w:r w:rsidRPr="00A5127C">
              <w:rPr>
                <w:sz w:val="22"/>
                <w:szCs w:val="20"/>
                <w:highlight w:val="cyan"/>
                <w:lang w:eastAsia="zh-CN"/>
              </w:rPr>
              <w:t>RRC parameter</w:t>
            </w:r>
            <w:r w:rsidRPr="00A5127C">
              <w:rPr>
                <w:sz w:val="22"/>
                <w:szCs w:val="20"/>
                <w:highlight w:val="cyan"/>
                <w:lang w:val="en-US" w:eastAsia="zh-CN"/>
              </w:rPr>
              <w:t>(</w:t>
            </w:r>
            <w:r w:rsidRPr="00A5127C">
              <w:rPr>
                <w:sz w:val="22"/>
                <w:szCs w:val="20"/>
                <w:highlight w:val="cyan"/>
                <w:lang w:eastAsia="zh-CN"/>
              </w:rPr>
              <w:t>s</w:t>
            </w:r>
            <w:r w:rsidRPr="00A5127C">
              <w:rPr>
                <w:sz w:val="22"/>
                <w:szCs w:val="20"/>
                <w:highlight w:val="cyan"/>
                <w:lang w:val="en-US" w:eastAsia="zh-CN"/>
              </w:rPr>
              <w:t>)</w:t>
            </w:r>
            <w:r w:rsidRPr="00A5127C">
              <w:rPr>
                <w:sz w:val="22"/>
                <w:szCs w:val="20"/>
                <w:highlight w:val="cyan"/>
                <w:lang w:eastAsia="zh-CN"/>
              </w:rPr>
              <w:t xml:space="preserve"> </w:t>
            </w:r>
            <w:r w:rsidRPr="00A5127C">
              <w:rPr>
                <w:sz w:val="22"/>
                <w:szCs w:val="20"/>
                <w:highlight w:val="cyan"/>
                <w:lang w:val="en-US" w:eastAsia="zh-CN"/>
              </w:rPr>
              <w:t xml:space="preserve">via dynamic signaling (e.g. MAC CE and/or DCI, potentially selecting pre-configured values) </w:t>
            </w:r>
            <w:r w:rsidRPr="00A5127C">
              <w:rPr>
                <w:sz w:val="22"/>
                <w:szCs w:val="20"/>
                <w:highlight w:val="cyan"/>
                <w:lang w:eastAsia="zh-CN"/>
              </w:rPr>
              <w:t xml:space="preserve">without </w:t>
            </w:r>
            <w:r w:rsidRPr="00A5127C">
              <w:rPr>
                <w:sz w:val="22"/>
                <w:highlight w:val="cyan"/>
                <w:lang w:eastAsia="zh-CN"/>
              </w:rPr>
              <w:t xml:space="preserve">any </w:t>
            </w:r>
            <w:r w:rsidRPr="00A5127C">
              <w:rPr>
                <w:sz w:val="22"/>
                <w:szCs w:val="20"/>
                <w:highlight w:val="cyan"/>
                <w:lang w:eastAsia="zh-CN"/>
              </w:rPr>
              <w:t xml:space="preserve">additional RRC </w:t>
            </w:r>
            <w:r w:rsidRPr="00A5127C">
              <w:rPr>
                <w:sz w:val="22"/>
                <w:highlight w:val="cyan"/>
                <w:lang w:eastAsia="zh-CN"/>
              </w:rPr>
              <w:t>reconfiguration signaling?</w:t>
            </w:r>
            <w:bookmarkEnd w:id="0"/>
          </w:p>
        </w:tc>
      </w:tr>
    </w:tbl>
    <w:p w14:paraId="0C0E9DFA" w14:textId="49D2C88B" w:rsidR="009F4F40" w:rsidRDefault="009F4F40" w:rsidP="007A2E55"/>
    <w:p w14:paraId="36646147" w14:textId="32320ACE" w:rsidR="00A5127C" w:rsidRDefault="00A5127C" w:rsidP="007A2E55">
      <w:r>
        <w:t xml:space="preserve">The goal of RAN1 seems to be to </w:t>
      </w:r>
      <w:r w:rsidRPr="009419A4">
        <w:t>make the L1/L2 serving cell change "invisible" to RRC</w:t>
      </w:r>
      <w:r>
        <w:t xml:space="preserve"> (as much as possible). Since this obviously has impacts to RAN2 specifications</w:t>
      </w:r>
      <w:r w:rsidR="008A32A6">
        <w:t xml:space="preserve"> (at least in terms of RRC configuration and potentially also MAC procedures), the questions attempt to chop the topic into smaller pieces.</w:t>
      </w:r>
      <w:r w:rsidR="00E132F2">
        <w:t xml:space="preserve"> As mentioned previously, this was partly done in Re-16 multi-TRP so extending that operation (as much as possible) seems like a good starting point</w:t>
      </w:r>
      <w:r w:rsidR="00F72D16">
        <w:t>: With multi-TRP, the PDSCHs are considered as "resources": for single-DCI, they are seen as extra TCI states, and with multi-DCI, they are seen as extra CORESET</w:t>
      </w:r>
      <w:r w:rsidR="00C94CFF">
        <w:t xml:space="preserve"> pool</w:t>
      </w:r>
      <w:r w:rsidR="00F72D16">
        <w:t>s</w:t>
      </w:r>
      <w:r w:rsidR="00C94CFF">
        <w:t>.</w:t>
      </w:r>
      <w:r w:rsidR="00396546">
        <w:t xml:space="preserve"> Hence, the L1/L2-centric mobility seems akin to that, i.e. "DPS CoMP"-like operation in terms of what was already discussed in LTE Rel-11 timeframe.</w:t>
      </w:r>
    </w:p>
    <w:p w14:paraId="02AD4448" w14:textId="449CA4F0" w:rsidR="00E132F2" w:rsidRDefault="00E132F2" w:rsidP="007A2E55">
      <w:r w:rsidRPr="003042F9">
        <w:rPr>
          <w:b/>
          <w:bCs/>
        </w:rPr>
        <w:t>Observation 2:</w:t>
      </w:r>
      <w:r>
        <w:t xml:space="preserve"> </w:t>
      </w:r>
      <w:r w:rsidR="00C85128">
        <w:t xml:space="preserve">L1/L2-centric mobility should </w:t>
      </w:r>
      <w:r w:rsidR="00C94CFF">
        <w:t xml:space="preserve">aim to </w:t>
      </w:r>
      <w:r w:rsidR="00C85128">
        <w:t xml:space="preserve">build on top of the Rel-16 multi-TRP functionality. </w:t>
      </w:r>
    </w:p>
    <w:p w14:paraId="71585D75" w14:textId="5055F1BC" w:rsidR="008C75D1" w:rsidRDefault="008C75D1" w:rsidP="007A2E55">
      <w:r>
        <w:t xml:space="preserve">First of all, question 1 concerns the impacts on </w:t>
      </w:r>
      <w:r w:rsidRPr="008C75D1">
        <w:rPr>
          <w:b/>
          <w:bCs/>
        </w:rPr>
        <w:t>serving cell</w:t>
      </w:r>
      <w:r>
        <w:t xml:space="preserve"> in case UE is configured to receive an </w:t>
      </w:r>
      <w:r w:rsidRPr="009419A4">
        <w:rPr>
          <w:b/>
          <w:bCs/>
        </w:rPr>
        <w:t xml:space="preserve">additional non-serving cell </w:t>
      </w:r>
      <w:r>
        <w:t xml:space="preserve">for the purpose of the L1/L2-centric mobility: RAN1 wonders whether configuration of non-serving cell would impact the serving cell, and how dynamically such a change could occur from RAN2 perspective and what kind of configuration would be required for this? We note that any and all such options would naturally require RRC configuration, and that the </w:t>
      </w:r>
      <w:r w:rsidRPr="008C75D1">
        <w:rPr>
          <w:i/>
          <w:iCs/>
        </w:rPr>
        <w:t>CellGroupConfig</w:t>
      </w:r>
      <w:r>
        <w:t xml:space="preserve"> IE currently provides all DU-specific configurations, a simple modelling could be to assume that UE could be provided with a separate </w:t>
      </w:r>
      <w:r w:rsidRPr="008C75D1">
        <w:rPr>
          <w:i/>
          <w:iCs/>
        </w:rPr>
        <w:t>CellGroupConfig</w:t>
      </w:r>
      <w:r>
        <w:t xml:space="preserve"> to be used for the L1/L2-centric mobility.</w:t>
      </w:r>
      <w:r w:rsidR="009419A4">
        <w:t xml:space="preserve"> Alternatively, as most of the configurations relate to </w:t>
      </w:r>
      <w:r w:rsidR="009419A4" w:rsidRPr="009419A4">
        <w:rPr>
          <w:i/>
          <w:iCs/>
        </w:rPr>
        <w:t>ServingCellConfig</w:t>
      </w:r>
      <w:r w:rsidR="009419A4">
        <w:t xml:space="preserve">, a separate </w:t>
      </w:r>
      <w:r w:rsidR="009419A4" w:rsidRPr="009419A4">
        <w:rPr>
          <w:i/>
          <w:iCs/>
        </w:rPr>
        <w:t>ServingCellConfig</w:t>
      </w:r>
      <w:r w:rsidR="009419A4">
        <w:t xml:space="preserve"> could be provided for the non-serving cell. </w:t>
      </w:r>
      <w:r w:rsidR="00477E0F">
        <w:t xml:space="preserve">All of this depends also on Q3/Q4, i.e. whether intra- or inter-DU configurations are supported (see later section), but it seems like the simplest possible assumption would be that </w:t>
      </w:r>
      <w:r w:rsidR="00477E0F" w:rsidRPr="00477E0F">
        <w:rPr>
          <w:i/>
          <w:iCs/>
        </w:rPr>
        <w:t>ServingCellConfig</w:t>
      </w:r>
      <w:r w:rsidR="00477E0F">
        <w:t xml:space="preserve"> needs to be provided for the non-serving cell since that includes the BWP configuration(s), which then contain the </w:t>
      </w:r>
      <w:r w:rsidR="003042F9">
        <w:t xml:space="preserve">physical channel </w:t>
      </w:r>
      <w:r w:rsidR="00477E0F">
        <w:t xml:space="preserve">configurations. Additionally, unless it can be assumed that </w:t>
      </w:r>
      <w:r w:rsidR="00477E0F" w:rsidRPr="00477E0F">
        <w:rPr>
          <w:i/>
          <w:iCs/>
        </w:rPr>
        <w:t>ServingCellConfigCommon</w:t>
      </w:r>
      <w:r w:rsidR="00477E0F">
        <w:t xml:space="preserve"> is the same for both the serving and non-serving cells</w:t>
      </w:r>
      <w:r w:rsidR="001515BD">
        <w:t xml:space="preserve">, the entire </w:t>
      </w:r>
      <w:r w:rsidR="001515BD" w:rsidRPr="001515BD">
        <w:rPr>
          <w:i/>
          <w:iCs/>
        </w:rPr>
        <w:t>SpCellConfig</w:t>
      </w:r>
      <w:r w:rsidR="001515BD">
        <w:t xml:space="preserve"> (for SpCells) or </w:t>
      </w:r>
      <w:r w:rsidR="001515BD" w:rsidRPr="001515BD">
        <w:rPr>
          <w:i/>
          <w:iCs/>
        </w:rPr>
        <w:t>SCellConfig</w:t>
      </w:r>
      <w:r w:rsidR="001515BD">
        <w:t xml:space="preserve"> (for SCells) might need to be provided. </w:t>
      </w:r>
      <w:r w:rsidR="00477E0F">
        <w:t xml:space="preserve"> </w:t>
      </w:r>
      <w:r w:rsidR="00F72D16">
        <w:t xml:space="preserve"> This (well-known) signalling structure is shown in Figure 1 below.</w:t>
      </w:r>
    </w:p>
    <w:p w14:paraId="4E878562" w14:textId="449CA4F0" w:rsidR="00F72D16" w:rsidRDefault="00F72D16" w:rsidP="007A2E55">
      <w:r>
        <w:rPr>
          <w:noProof/>
        </w:rPr>
        <w:drawing>
          <wp:inline distT="0" distB="0" distL="0" distR="0" wp14:anchorId="1335601A" wp14:editId="2E9B4043">
            <wp:extent cx="6067766" cy="2258695"/>
            <wp:effectExtent l="0" t="0" r="9525" b="825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19" cstate="print">
                      <a:extLst>
                        <a:ext uri="{28A0092B-C50C-407E-A947-70E740481C1C}">
                          <a14:useLocalDpi xmlns:a14="http://schemas.microsoft.com/office/drawing/2010/main" val="0"/>
                        </a:ext>
                      </a:extLst>
                    </a:blip>
                    <a:stretch>
                      <a:fillRect/>
                    </a:stretch>
                  </pic:blipFill>
                  <pic:spPr>
                    <a:xfrm>
                      <a:off x="0" y="0"/>
                      <a:ext cx="6067766" cy="2258695"/>
                    </a:xfrm>
                    <a:prstGeom prst="rect">
                      <a:avLst/>
                    </a:prstGeom>
                  </pic:spPr>
                </pic:pic>
              </a:graphicData>
            </a:graphic>
          </wp:inline>
        </w:drawing>
      </w:r>
    </w:p>
    <w:p w14:paraId="0700A381" w14:textId="449CA4F0" w:rsidR="00F72D16" w:rsidRPr="003042F9" w:rsidRDefault="00F72D16" w:rsidP="003042F9">
      <w:pPr>
        <w:pStyle w:val="Caption"/>
        <w:jc w:val="center"/>
        <w:rPr>
          <w:b/>
        </w:rPr>
      </w:pPr>
      <w:r w:rsidRPr="00D55B33">
        <w:rPr>
          <w:b/>
          <w:bCs/>
          <w:i w:val="0"/>
          <w:iCs w:val="0"/>
        </w:rPr>
        <w:t xml:space="preserve">Figure </w:t>
      </w:r>
      <w:r w:rsidRPr="00D55B33">
        <w:rPr>
          <w:b/>
          <w:bCs/>
          <w:i w:val="0"/>
          <w:iCs w:val="0"/>
        </w:rPr>
        <w:fldChar w:fldCharType="begin"/>
      </w:r>
      <w:r w:rsidRPr="00D55B33">
        <w:rPr>
          <w:b/>
          <w:bCs/>
          <w:i w:val="0"/>
          <w:iCs w:val="0"/>
        </w:rPr>
        <w:instrText xml:space="preserve"> SEQ Figure \* ARABIC </w:instrText>
      </w:r>
      <w:r w:rsidRPr="00D55B33">
        <w:rPr>
          <w:b/>
          <w:bCs/>
          <w:i w:val="0"/>
          <w:iCs w:val="0"/>
        </w:rPr>
        <w:fldChar w:fldCharType="separate"/>
      </w:r>
      <w:r>
        <w:rPr>
          <w:b/>
          <w:bCs/>
          <w:i w:val="0"/>
          <w:iCs w:val="0"/>
          <w:noProof/>
        </w:rPr>
        <w:t>1</w:t>
      </w:r>
      <w:r w:rsidRPr="00D55B33">
        <w:rPr>
          <w:b/>
          <w:bCs/>
          <w:i w:val="0"/>
          <w:iCs w:val="0"/>
        </w:rPr>
        <w:fldChar w:fldCharType="end"/>
      </w:r>
      <w:r w:rsidRPr="00D55B33">
        <w:rPr>
          <w:b/>
          <w:bCs/>
          <w:i w:val="0"/>
          <w:iCs w:val="0"/>
        </w:rPr>
        <w:t xml:space="preserve">. Basic </w:t>
      </w:r>
      <w:r>
        <w:rPr>
          <w:b/>
          <w:bCs/>
          <w:i w:val="0"/>
          <w:iCs w:val="0"/>
        </w:rPr>
        <w:t>UE configuration coming from CU and DU</w:t>
      </w:r>
    </w:p>
    <w:p w14:paraId="6A6BC9FA" w14:textId="70ECF43C" w:rsidR="009419A4" w:rsidRPr="008C75D1" w:rsidRDefault="009419A4" w:rsidP="007A2E55">
      <w:r w:rsidRPr="001515BD">
        <w:rPr>
          <w:b/>
          <w:bCs/>
        </w:rPr>
        <w:t xml:space="preserve">Observation </w:t>
      </w:r>
      <w:r w:rsidR="007C3B0D">
        <w:rPr>
          <w:b/>
          <w:bCs/>
        </w:rPr>
        <w:t>3</w:t>
      </w:r>
      <w:r w:rsidRPr="001515BD">
        <w:rPr>
          <w:b/>
          <w:bCs/>
        </w:rPr>
        <w:t>:</w:t>
      </w:r>
      <w:r>
        <w:t xml:space="preserve"> </w:t>
      </w:r>
      <w:r w:rsidR="00DE6DA9">
        <w:t>Whether t</w:t>
      </w:r>
      <w:r w:rsidR="001515BD">
        <w:t xml:space="preserve">he </w:t>
      </w:r>
      <w:r w:rsidR="00DE6DA9">
        <w:t xml:space="preserve">cell-specific </w:t>
      </w:r>
      <w:r w:rsidR="001515BD">
        <w:t xml:space="preserve">configuration </w:t>
      </w:r>
      <w:r w:rsidR="00DE6DA9">
        <w:t xml:space="preserve">(i.e. information within IE </w:t>
      </w:r>
      <w:r w:rsidR="00DE6DA9" w:rsidRPr="00DE6DA9">
        <w:rPr>
          <w:i/>
          <w:iCs/>
        </w:rPr>
        <w:t>ServingCellConfigCommon</w:t>
      </w:r>
      <w:r w:rsidR="00DE6DA9">
        <w:t xml:space="preserve"> or IE </w:t>
      </w:r>
      <w:r w:rsidR="00DE6DA9" w:rsidRPr="00DE6DA9">
        <w:rPr>
          <w:i/>
          <w:iCs/>
        </w:rPr>
        <w:t>ServingCellConfigCommonSIB</w:t>
      </w:r>
      <w:r w:rsidR="00DE6DA9">
        <w:t xml:space="preserve">) for the </w:t>
      </w:r>
      <w:r w:rsidR="001515BD">
        <w:t>n</w:t>
      </w:r>
      <w:r>
        <w:t xml:space="preserve">on-serving </w:t>
      </w:r>
      <w:r w:rsidR="001515BD">
        <w:t xml:space="preserve">cell </w:t>
      </w:r>
      <w:r w:rsidR="00DE6DA9">
        <w:t>can be the same as for the serving cell requires further discussion.</w:t>
      </w:r>
    </w:p>
    <w:p w14:paraId="23EE3907" w14:textId="35F41CB2" w:rsidR="008C75D1" w:rsidRDefault="001515BD" w:rsidP="007A2E55">
      <w:r w:rsidRPr="001515BD">
        <w:rPr>
          <w:b/>
          <w:bCs/>
        </w:rPr>
        <w:t xml:space="preserve">Observation </w:t>
      </w:r>
      <w:r w:rsidR="00C94CFF">
        <w:rPr>
          <w:b/>
          <w:bCs/>
        </w:rPr>
        <w:t>4</w:t>
      </w:r>
      <w:r w:rsidRPr="001515BD">
        <w:rPr>
          <w:b/>
          <w:bCs/>
        </w:rPr>
        <w:t>:</w:t>
      </w:r>
      <w:r>
        <w:t xml:space="preserve"> At least </w:t>
      </w:r>
      <w:r w:rsidRPr="001515BD">
        <w:rPr>
          <w:i/>
          <w:iCs/>
        </w:rPr>
        <w:t>ServingCellConfig</w:t>
      </w:r>
      <w:r>
        <w:t xml:space="preserve"> needs to be provided for </w:t>
      </w:r>
      <w:r w:rsidR="00DE6DA9">
        <w:t>any</w:t>
      </w:r>
      <w:r>
        <w:t xml:space="preserve"> non-serving cell</w:t>
      </w:r>
      <w:r w:rsidR="00DE6DA9">
        <w:t xml:space="preserve"> so UE is able to </w:t>
      </w:r>
      <w:r w:rsidR="003042F9">
        <w:t xml:space="preserve">use physical channels of </w:t>
      </w:r>
      <w:r w:rsidR="00DE6DA9">
        <w:t>the non-serving cell.</w:t>
      </w:r>
    </w:p>
    <w:p w14:paraId="7F7B186A" w14:textId="0178BABD" w:rsidR="007F07DA" w:rsidRDefault="001515BD" w:rsidP="007F07DA">
      <w:r>
        <w:t>RAN1 is also asking questions on what kinds of actions would an addition/modification/release of the non-serving cell require? Specifically, would a handover be needed, or could there be some sort of dynamic switching between stored configurations</w:t>
      </w:r>
      <w:r w:rsidR="001648D8">
        <w:t xml:space="preserve">, </w:t>
      </w:r>
      <w:r>
        <w:t>presumably akin to BWP switch or TCI state change</w:t>
      </w:r>
      <w:r w:rsidR="001648D8">
        <w:t xml:space="preserve"> as done in single-DCI multi-TRP</w:t>
      </w:r>
      <w:r>
        <w:t>? On that, some aspects seem essential from RAN2 viewpoint:</w:t>
      </w:r>
      <w:r w:rsidR="007F07DA">
        <w:t xml:space="preserve"> For example, </w:t>
      </w:r>
      <w:r>
        <w:t>RRC configuration is needed for addition and release of non-serving cells</w:t>
      </w:r>
      <w:r w:rsidR="007F07DA">
        <w:t>. Switching between stored RRC configurations is possible but may impact serving cell reception. Like with DC, it seems simplest to start assuming a</w:t>
      </w:r>
      <w:r>
        <w:t xml:space="preserve"> single non-serving cell configuration </w:t>
      </w:r>
      <w:r w:rsidR="007F07DA">
        <w:t xml:space="preserve">for </w:t>
      </w:r>
      <w:r>
        <w:t>Rel-17 (</w:t>
      </w:r>
      <w:r w:rsidR="007F07DA">
        <w:t xml:space="preserve">i.e. multiple "stored configurations" can be considered in </w:t>
      </w:r>
      <w:r>
        <w:t>later releases</w:t>
      </w:r>
      <w:r w:rsidR="007F07DA">
        <w:t xml:space="preserve"> only). However, for L1-related parts such as TCI states, it would be possible to have those switched according to PHY or MAC signalling: For example, it seems possible that the UE can first receive PDSCH from serving cell, and then be asked to switch receiving PDSCH from non-serving cell upon receiving e.g. similar indication as done for TCI state change. </w:t>
      </w:r>
      <w:r w:rsidR="001648D8">
        <w:t xml:space="preserve">To illustrate the basic scenarios presumably needed for </w:t>
      </w:r>
      <w:r w:rsidR="001648D8">
        <w:lastRenderedPageBreak/>
        <w:t>the L1/L2-centric mobility, the Figure 2 below shows the fuindamental operations: 1) Addition of non-seving cell, 2) release of non-serving cell and 3) change of non-serving cell.</w:t>
      </w:r>
    </w:p>
    <w:p w14:paraId="624E314A" w14:textId="449CA4F0" w:rsidR="001648D8" w:rsidRDefault="001648D8" w:rsidP="001648D8">
      <w:pPr>
        <w:pStyle w:val="B1"/>
        <w:ind w:left="0" w:firstLine="0"/>
        <w:jc w:val="center"/>
      </w:pPr>
      <w:r>
        <w:rPr>
          <w:noProof/>
        </w:rPr>
        <w:drawing>
          <wp:inline distT="0" distB="0" distL="0" distR="0" wp14:anchorId="79B4703F" wp14:editId="60F5C1BD">
            <wp:extent cx="4400550" cy="2527941"/>
            <wp:effectExtent l="0" t="0" r="0" b="571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20" cstate="print">
                      <a:extLst>
                        <a:ext uri="{28A0092B-C50C-407E-A947-70E740481C1C}">
                          <a14:useLocalDpi xmlns:a14="http://schemas.microsoft.com/office/drawing/2010/main" val="0"/>
                        </a:ext>
                      </a:extLst>
                    </a:blip>
                    <a:stretch>
                      <a:fillRect/>
                    </a:stretch>
                  </pic:blipFill>
                  <pic:spPr>
                    <a:xfrm>
                      <a:off x="0" y="0"/>
                      <a:ext cx="4400550" cy="2527941"/>
                    </a:xfrm>
                    <a:prstGeom prst="rect">
                      <a:avLst/>
                    </a:prstGeom>
                  </pic:spPr>
                </pic:pic>
              </a:graphicData>
            </a:graphic>
          </wp:inline>
        </w:drawing>
      </w:r>
    </w:p>
    <w:p w14:paraId="08ED3125" w14:textId="449CA4F0" w:rsidR="001648D8" w:rsidRDefault="001648D8" w:rsidP="00F22DFB">
      <w:pPr>
        <w:pStyle w:val="Caption"/>
        <w:jc w:val="center"/>
      </w:pPr>
      <w:r w:rsidRPr="00D55B33">
        <w:rPr>
          <w:b/>
          <w:bCs/>
          <w:i w:val="0"/>
          <w:iCs w:val="0"/>
        </w:rPr>
        <w:t xml:space="preserve">Figure </w:t>
      </w:r>
      <w:r w:rsidRPr="00D55B33">
        <w:rPr>
          <w:b/>
          <w:bCs/>
          <w:i w:val="0"/>
          <w:iCs w:val="0"/>
        </w:rPr>
        <w:fldChar w:fldCharType="begin"/>
      </w:r>
      <w:r w:rsidRPr="00D55B33">
        <w:rPr>
          <w:b/>
          <w:bCs/>
          <w:i w:val="0"/>
          <w:iCs w:val="0"/>
        </w:rPr>
        <w:instrText xml:space="preserve"> SEQ Figure \* ARABIC </w:instrText>
      </w:r>
      <w:r w:rsidRPr="00D55B33">
        <w:rPr>
          <w:b/>
          <w:bCs/>
          <w:i w:val="0"/>
          <w:iCs w:val="0"/>
        </w:rPr>
        <w:fldChar w:fldCharType="separate"/>
      </w:r>
      <w:r>
        <w:rPr>
          <w:b/>
          <w:bCs/>
          <w:i w:val="0"/>
          <w:iCs w:val="0"/>
          <w:noProof/>
        </w:rPr>
        <w:t>2</w:t>
      </w:r>
      <w:r w:rsidRPr="00D55B33">
        <w:rPr>
          <w:b/>
          <w:bCs/>
          <w:i w:val="0"/>
          <w:iCs w:val="0"/>
        </w:rPr>
        <w:fldChar w:fldCharType="end"/>
      </w:r>
      <w:r w:rsidRPr="00D55B33">
        <w:rPr>
          <w:b/>
          <w:bCs/>
          <w:i w:val="0"/>
          <w:iCs w:val="0"/>
        </w:rPr>
        <w:t>. Basic procedures for L1/L2-centric mobility</w:t>
      </w:r>
    </w:p>
    <w:p w14:paraId="48E5859D" w14:textId="337A6DD9" w:rsidR="007F07DA" w:rsidRDefault="007F07DA" w:rsidP="007F07DA">
      <w:r w:rsidRPr="007F07DA">
        <w:rPr>
          <w:b/>
          <w:bCs/>
        </w:rPr>
        <w:t xml:space="preserve">Observation </w:t>
      </w:r>
      <w:r w:rsidR="00C94CFF">
        <w:rPr>
          <w:b/>
          <w:bCs/>
        </w:rPr>
        <w:t>5</w:t>
      </w:r>
      <w:r w:rsidRPr="007F07DA">
        <w:rPr>
          <w:b/>
          <w:bCs/>
        </w:rPr>
        <w:t>:</w:t>
      </w:r>
      <w:r>
        <w:t xml:space="preserve"> Configuration of non-serving cells should be done via RRC.</w:t>
      </w:r>
    </w:p>
    <w:p w14:paraId="78486AA6" w14:textId="0D5510CD" w:rsidR="001515BD" w:rsidRDefault="007F07DA" w:rsidP="007F07DA">
      <w:r w:rsidRPr="007F07DA">
        <w:rPr>
          <w:b/>
          <w:bCs/>
        </w:rPr>
        <w:t xml:space="preserve">Observation </w:t>
      </w:r>
      <w:r w:rsidR="00C94CFF">
        <w:rPr>
          <w:b/>
          <w:bCs/>
        </w:rPr>
        <w:t>6</w:t>
      </w:r>
      <w:r w:rsidRPr="007F07DA">
        <w:rPr>
          <w:b/>
          <w:bCs/>
        </w:rPr>
        <w:t>:</w:t>
      </w:r>
      <w:r>
        <w:t xml:space="preserve"> Changing which </w:t>
      </w:r>
      <w:r w:rsidR="003042F9">
        <w:t xml:space="preserve">physical </w:t>
      </w:r>
      <w:r>
        <w:t xml:space="preserve">channel is </w:t>
      </w:r>
      <w:r w:rsidR="003042F9">
        <w:t>used</w:t>
      </w:r>
      <w:r>
        <w:t xml:space="preserve"> by UE at a given time could be possible to do via L1 or MAC signalling (similar to BWP switch or TCI state change).</w:t>
      </w:r>
    </w:p>
    <w:p w14:paraId="3A32CF20" w14:textId="52DBA4F2" w:rsidR="007F07DA" w:rsidRDefault="007D57A5" w:rsidP="007F07DA">
      <w:r>
        <w:t>Consider</w:t>
      </w:r>
      <w:r w:rsidR="00C14369">
        <w:t>ing</w:t>
      </w:r>
      <w:r>
        <w:t xml:space="preserve"> the question 1, we think the following could be </w:t>
      </w:r>
      <w:r w:rsidR="00215C6C">
        <w:t xml:space="preserve">potential answers to </w:t>
      </w:r>
      <w:r>
        <w:t>RAN1</w:t>
      </w:r>
      <w:r w:rsidR="00215C6C">
        <w:t xml:space="preserve"> questions</w:t>
      </w:r>
      <w:r>
        <w:t>:</w:t>
      </w:r>
    </w:p>
    <w:p w14:paraId="21FB5947" w14:textId="762E8BF2" w:rsidR="001515BD" w:rsidRDefault="007F07DA" w:rsidP="001515BD">
      <w:pPr>
        <w:pStyle w:val="B1"/>
      </w:pPr>
      <w:r>
        <w:t>-</w:t>
      </w:r>
      <w:r>
        <w:tab/>
        <w:t>The configuration from each cell should be handled separately: E.g. TCI states would be per serving cell and corresponding RS type;</w:t>
      </w:r>
    </w:p>
    <w:p w14:paraId="77F5A18B" w14:textId="5DE81AFE" w:rsidR="001515BD" w:rsidRDefault="007F07DA" w:rsidP="001515BD">
      <w:pPr>
        <w:pStyle w:val="B1"/>
      </w:pPr>
      <w:r>
        <w:t>-</w:t>
      </w:r>
      <w:r>
        <w:tab/>
        <w:t>UE should only be required to receive system information from serving cell</w:t>
      </w:r>
      <w:r w:rsidR="00E751CD">
        <w:t xml:space="preserve"> and is not required to receive SI from non-serving cell</w:t>
      </w:r>
      <w:r>
        <w:t xml:space="preserve"> (same as with </w:t>
      </w:r>
      <w:r w:rsidR="00E751CD">
        <w:t xml:space="preserve">PCell/PSCell in </w:t>
      </w:r>
      <w:r>
        <w:t>DC);</w:t>
      </w:r>
    </w:p>
    <w:p w14:paraId="0167C7D5" w14:textId="3C6976E6" w:rsidR="007F07DA" w:rsidRDefault="007F07DA" w:rsidP="001515BD">
      <w:pPr>
        <w:pStyle w:val="B1"/>
      </w:pPr>
      <w:r>
        <w:t>-</w:t>
      </w:r>
      <w:r>
        <w:tab/>
        <w:t>RACH configuration could be allowed for both serving and non-serving cells, but PUCCH should be only to one cell at a time</w:t>
      </w:r>
      <w:r w:rsidR="00DE6DA9">
        <w:t xml:space="preserve"> (similar to UL+SUL in Rel-15)</w:t>
      </w:r>
      <w:r>
        <w:t>;</w:t>
      </w:r>
    </w:p>
    <w:p w14:paraId="5A5E7470" w14:textId="2E00574E" w:rsidR="00DE6DA9" w:rsidRDefault="00DE6DA9" w:rsidP="001515BD">
      <w:pPr>
        <w:pStyle w:val="B1"/>
      </w:pPr>
      <w:r>
        <w:t>-</w:t>
      </w:r>
      <w:r>
        <w:tab/>
      </w:r>
      <w:r w:rsidR="0016512B">
        <w:t>Radio l</w:t>
      </w:r>
      <w:r>
        <w:t xml:space="preserve">ink monitoring </w:t>
      </w:r>
      <w:r w:rsidR="00F22DFB">
        <w:t xml:space="preserve">may </w:t>
      </w:r>
      <w:r>
        <w:t>be required</w:t>
      </w:r>
      <w:r w:rsidR="0016512B">
        <w:t xml:space="preserve"> for non-serving cell, especially if </w:t>
      </w:r>
      <w:r>
        <w:t xml:space="preserve">used </w:t>
      </w:r>
      <w:r w:rsidR="0016512B">
        <w:t>with</w:t>
      </w:r>
      <w:r>
        <w:t xml:space="preserve"> SpCell (i.e. PCell or PSCell);</w:t>
      </w:r>
    </w:p>
    <w:p w14:paraId="05702AE7" w14:textId="44705168" w:rsidR="007F07DA" w:rsidRDefault="007F07DA" w:rsidP="001515BD">
      <w:pPr>
        <w:pStyle w:val="B1"/>
      </w:pPr>
      <w:r>
        <w:t>-</w:t>
      </w:r>
      <w:r>
        <w:tab/>
      </w:r>
      <w:r w:rsidR="00DE6DA9">
        <w:t xml:space="preserve">If UE is required to </w:t>
      </w:r>
      <w:r w:rsidR="00E751CD">
        <w:t xml:space="preserve">simultaneously </w:t>
      </w:r>
      <w:r w:rsidR="003042F9">
        <w:t>use</w:t>
      </w:r>
      <w:r w:rsidR="00DE6DA9">
        <w:t xml:space="preserve"> the same </w:t>
      </w:r>
      <w:r w:rsidR="003042F9">
        <w:t>physical channel (i.e. PUCCH/PDCCH/PUSCH/PDSCH)</w:t>
      </w:r>
      <w:r w:rsidR="00DE6DA9">
        <w:t xml:space="preserve"> from both serving and non-serving cell, further discussion</w:t>
      </w:r>
      <w:r w:rsidR="007D57A5">
        <w:t xml:space="preserve"> in RAN2 </w:t>
      </w:r>
      <w:r w:rsidR="00E751CD">
        <w:t xml:space="preserve">is needed </w:t>
      </w:r>
      <w:r w:rsidR="007D57A5">
        <w:t>once more details are known</w:t>
      </w:r>
      <w:r w:rsidR="00E751CD">
        <w:t xml:space="preserve"> how this would work</w:t>
      </w:r>
      <w:r w:rsidR="008D451C">
        <w:t>.</w:t>
      </w:r>
    </w:p>
    <w:p w14:paraId="2639E4D5" w14:textId="0C41CE06" w:rsidR="00835D18" w:rsidRDefault="007D57A5" w:rsidP="007D57A5">
      <w:pPr>
        <w:pStyle w:val="B1"/>
        <w:ind w:left="0" w:firstLine="0"/>
      </w:pPr>
      <w:r>
        <w:t>However, the questions 1.1 (need for the feature) and 1.6 (use cases) are far less clear: Normally the need for the feature is justified when the WI is first approved, and judging from the original RAN#8</w:t>
      </w:r>
      <w:r w:rsidR="005415A6">
        <w:t>4</w:t>
      </w:r>
      <w:r>
        <w:t xml:space="preserve"> document </w:t>
      </w:r>
      <w:hyperlink r:id="rId21" w:history="1">
        <w:r w:rsidR="005415A6">
          <w:rPr>
            <w:rStyle w:val="Hyperlink"/>
          </w:rPr>
          <w:t>RP-191177</w:t>
        </w:r>
      </w:hyperlink>
      <w:r w:rsidR="005415A6">
        <w:t xml:space="preserve"> (Rel-17 MIMO </w:t>
      </w:r>
      <w:r w:rsidR="00442472">
        <w:t>motivation paper) and the RAN#86 discussion summary (</w:t>
      </w:r>
      <w:hyperlink r:id="rId22" w:history="1">
        <w:r w:rsidR="00442472">
          <w:rPr>
            <w:rStyle w:val="Hyperlink"/>
          </w:rPr>
          <w:t>RP-192435</w:t>
        </w:r>
      </w:hyperlink>
      <w:r w:rsidR="00442472">
        <w:t xml:space="preserve">) </w:t>
      </w:r>
      <w:r>
        <w:t xml:space="preserve">on this, </w:t>
      </w:r>
      <w:r w:rsidR="00442472">
        <w:t>the desire was to allow "seamless" mobility for e.g. URLLC use cases</w:t>
      </w:r>
      <w:r w:rsidR="005415A6">
        <w:t xml:space="preserve"> and avoid "RRC overhead"</w:t>
      </w:r>
      <w:r w:rsidR="00442472">
        <w:t>.</w:t>
      </w:r>
      <w:r w:rsidR="005415A6">
        <w:t xml:space="preserve"> In short, the motivation was a wish for "more dynamic" mobility via "beams", i.e. at least partly getting rid of the "cell"-concept used since 2G. However, as has been seen often, getting rid of one problem tends to just create another problem</w:t>
      </w:r>
      <w:r w:rsidR="00553AF1">
        <w:t xml:space="preserve"> so care should be taken to understand the implications of these new procedures to avoi</w:t>
      </w:r>
      <w:r w:rsidR="00953740">
        <w:t>d creating harder problems</w:t>
      </w:r>
      <w:r w:rsidR="00AB0942">
        <w:t xml:space="preserve"> to solve</w:t>
      </w:r>
      <w:r w:rsidR="00953740">
        <w:t xml:space="preserve">. </w:t>
      </w:r>
    </w:p>
    <w:p w14:paraId="2BBDD649" w14:textId="538972CD" w:rsidR="00835D18" w:rsidRPr="006E13D1" w:rsidRDefault="00835D18" w:rsidP="007D57A5">
      <w:pPr>
        <w:pStyle w:val="B1"/>
        <w:ind w:left="0" w:firstLine="0"/>
      </w:pPr>
      <w:r w:rsidRPr="00835D18">
        <w:rPr>
          <w:b/>
          <w:bCs/>
        </w:rPr>
        <w:t xml:space="preserve">Observation </w:t>
      </w:r>
      <w:r w:rsidR="00C94CFF">
        <w:rPr>
          <w:b/>
          <w:bCs/>
        </w:rPr>
        <w:t>7</w:t>
      </w:r>
      <w:r w:rsidRPr="00835D18">
        <w:rPr>
          <w:b/>
          <w:bCs/>
        </w:rPr>
        <w:t>:</w:t>
      </w:r>
      <w:r>
        <w:t xml:space="preserve"> It is still unclear what the (unintended) consequences of introducing L1/L2-centric mobility would be to </w:t>
      </w:r>
      <w:r w:rsidR="00C94CFF">
        <w:t xml:space="preserve">NR </w:t>
      </w:r>
      <w:r>
        <w:t>system operation.</w:t>
      </w:r>
    </w:p>
    <w:p w14:paraId="1A4AF4A1" w14:textId="2A3D8CF6" w:rsidR="001515BD" w:rsidRDefault="00835D18" w:rsidP="007A2E55">
      <w:r>
        <w:t xml:space="preserve">Therefore, it seems difficult to answer either question 1.1 or 1.6: The "need" is ephemeral and depends on the use case, and should have been thought of when the WI was created. And if the </w:t>
      </w:r>
      <w:r w:rsidR="00AB0942">
        <w:t>L1/L2-centric mobility</w:t>
      </w:r>
      <w:r>
        <w:t xml:space="preserve"> is not </w:t>
      </w:r>
      <w:r w:rsidR="00A9478B">
        <w:t>specified</w:t>
      </w:r>
      <w:r>
        <w:t xml:space="preserve">, nothing breaks as the legacy functionality is still there, but the use cases envisioned (e.g. for 1.1!) may not be possible. </w:t>
      </w:r>
      <w:r w:rsidR="001B2830">
        <w:t>Hence, s</w:t>
      </w:r>
      <w:r>
        <w:t xml:space="preserve">uch speculation </w:t>
      </w:r>
      <w:r w:rsidR="001B2830">
        <w:t xml:space="preserve">on "need" </w:t>
      </w:r>
      <w:r w:rsidR="00234A18">
        <w:t xml:space="preserve">depends on the exact design. At best, </w:t>
      </w:r>
      <w:r>
        <w:t xml:space="preserve">RAN2 </w:t>
      </w:r>
      <w:r w:rsidR="00234A18">
        <w:t xml:space="preserve">can </w:t>
      </w:r>
      <w:r>
        <w:t>indicate to RAN1</w:t>
      </w:r>
      <w:r w:rsidR="00234A18">
        <w:t xml:space="preserve"> that this should have been clarified in the WI objectives and justification</w:t>
      </w:r>
      <w:r>
        <w:t>.</w:t>
      </w:r>
    </w:p>
    <w:p w14:paraId="24000C27" w14:textId="16557098" w:rsidR="00835D18" w:rsidRDefault="00D26CD0" w:rsidP="007A2E55">
      <w:r>
        <w:rPr>
          <w:b/>
          <w:bCs/>
        </w:rPr>
        <w:lastRenderedPageBreak/>
        <w:t xml:space="preserve">Observation </w:t>
      </w:r>
      <w:r w:rsidR="00C94CFF">
        <w:rPr>
          <w:b/>
          <w:bCs/>
        </w:rPr>
        <w:t>8</w:t>
      </w:r>
      <w:r w:rsidR="00835D18" w:rsidRPr="00835D18">
        <w:rPr>
          <w:b/>
          <w:bCs/>
        </w:rPr>
        <w:t>:</w:t>
      </w:r>
      <w:r w:rsidR="00835D18">
        <w:t xml:space="preserve"> RAN2 should not speculate on whether L1/L2-centric mobility is "needed" and only focus on the consequences that introduction of the mechanism would create. </w:t>
      </w:r>
    </w:p>
    <w:p w14:paraId="1E753B76" w14:textId="449CA4F0" w:rsidR="002502DB" w:rsidRDefault="002502DB" w:rsidP="007A2E55">
      <w:r>
        <w:t>Finally, the question of whether handover is needed for any case with L1/L2-centric mobility</w:t>
      </w:r>
      <w:r w:rsidR="00E958F4">
        <w:t xml:space="preserve"> is a good one: It's certainly possible that handover may be needed (or at least desirable) in some cases, but </w:t>
      </w:r>
      <w:r w:rsidR="00F86202">
        <w:t xml:space="preserve">it is very difficult to say it at this phase. Hence, it's best to first consider the </w:t>
      </w:r>
      <w:r w:rsidR="00B74868">
        <w:t>other Stage-2 aspects of the potential solutions and come back to the question once the details are understood better.</w:t>
      </w:r>
      <w:r w:rsidR="006736D9">
        <w:t xml:space="preserve"> It's certainly desirable to avoid handovers, but whether that is possible cannot be said now.</w:t>
      </w:r>
    </w:p>
    <w:p w14:paraId="5F59EB63" w14:textId="773A2EF0" w:rsidR="00395FA9" w:rsidRDefault="00395FA9" w:rsidP="007A2E55">
      <w:r w:rsidRPr="00835D18">
        <w:rPr>
          <w:b/>
          <w:bCs/>
        </w:rPr>
        <w:t>Proposal 1:</w:t>
      </w:r>
      <w:r>
        <w:t xml:space="preserve"> RAN2 </w:t>
      </w:r>
      <w:r w:rsidR="006736D9">
        <w:t>aims to avoid handovers with L1/L2-centric mobility</w:t>
      </w:r>
      <w:r w:rsidR="00315FF9">
        <w:t xml:space="preserve"> procedures</w:t>
      </w:r>
      <w:r w:rsidR="00517D28">
        <w:t xml:space="preserve">. </w:t>
      </w:r>
      <w:r w:rsidR="005322DC">
        <w:t xml:space="preserve">Whether this is always possible </w:t>
      </w:r>
      <w:r w:rsidR="001C0D18">
        <w:t>is FFS.</w:t>
      </w:r>
      <w:r>
        <w:t xml:space="preserve"> </w:t>
      </w:r>
    </w:p>
    <w:p w14:paraId="1BC6D318" w14:textId="2C1CB842" w:rsidR="007D57A5" w:rsidRDefault="007D57A5" w:rsidP="007D57A5">
      <w:r>
        <w:t>Consider the question 2, we think the following could be noted in reply to RAN1:</w:t>
      </w:r>
    </w:p>
    <w:p w14:paraId="1132B006" w14:textId="672B2900" w:rsidR="007D57A5" w:rsidRDefault="007D57A5" w:rsidP="007D57A5">
      <w:pPr>
        <w:pStyle w:val="B1"/>
      </w:pPr>
      <w:r w:rsidRPr="003042F9">
        <w:rPr>
          <w:b/>
          <w:bCs/>
        </w:rPr>
        <w:t>-</w:t>
      </w:r>
      <w:r w:rsidRPr="003042F9">
        <w:rPr>
          <w:b/>
          <w:bCs/>
        </w:rPr>
        <w:tab/>
      </w:r>
      <w:r w:rsidR="00335CA5">
        <w:rPr>
          <w:b/>
          <w:bCs/>
        </w:rPr>
        <w:t>Needed c</w:t>
      </w:r>
      <w:r w:rsidR="00335CA5" w:rsidRPr="003042F9">
        <w:rPr>
          <w:b/>
          <w:bCs/>
        </w:rPr>
        <w:t xml:space="preserve">onfiguration: </w:t>
      </w:r>
      <w:r>
        <w:t xml:space="preserve">The UE would need to be provided with at least the </w:t>
      </w:r>
      <w:r w:rsidR="00B55EA6">
        <w:t xml:space="preserve">dedicated serving cell configuration (e.g. </w:t>
      </w:r>
      <w:r w:rsidRPr="003107F4">
        <w:rPr>
          <w:i/>
          <w:iCs/>
        </w:rPr>
        <w:t>ServingCellConfig</w:t>
      </w:r>
      <w:r>
        <w:t xml:space="preserve"> </w:t>
      </w:r>
      <w:r w:rsidR="00B55EA6">
        <w:t>or some parts of it</w:t>
      </w:r>
      <w:r>
        <w:t>)</w:t>
      </w:r>
      <w:r w:rsidR="00B55EA6">
        <w:t>, including configuration</w:t>
      </w:r>
      <w:r>
        <w:t xml:space="preserve"> for each </w:t>
      </w:r>
      <w:r w:rsidR="00B55EA6">
        <w:t xml:space="preserve">physical </w:t>
      </w:r>
      <w:r>
        <w:t xml:space="preserve">channel that would be received </w:t>
      </w:r>
      <w:r w:rsidR="00B55EA6">
        <w:t xml:space="preserve">from or transmitted to </w:t>
      </w:r>
      <w:r>
        <w:t>the non-serving cell.</w:t>
      </w:r>
    </w:p>
    <w:p w14:paraId="0F5D2EF9" w14:textId="449CA4F0" w:rsidR="007D57A5" w:rsidRDefault="007D57A5" w:rsidP="007D57A5">
      <w:pPr>
        <w:pStyle w:val="B1"/>
      </w:pPr>
      <w:r>
        <w:t>-</w:t>
      </w:r>
      <w:r>
        <w:tab/>
      </w:r>
      <w:r w:rsidR="00335CA5" w:rsidRPr="003042F9">
        <w:rPr>
          <w:b/>
          <w:bCs/>
        </w:rPr>
        <w:t>Update of configuration:</w:t>
      </w:r>
      <w:r w:rsidR="00335CA5">
        <w:t xml:space="preserve"> </w:t>
      </w:r>
      <w:r>
        <w:t>RRC configuration cannnot be updated via dynamic signalling, but switching between stored RRC configurations (e.g. similar to BWP switch) may be possible. However, there are many details to consider in this so it's not possible to given an exhaustive answer without understanding what exactly UE would do in each case. Such switching procedures would also likely impact user plane transmissions similar to the BWP switching in Rel-15, and hence RAN4 impacts (e.g. switching time and interruption requirements) are very likely to be needed.</w:t>
      </w:r>
    </w:p>
    <w:p w14:paraId="5B7D7514" w14:textId="7DD0C5F4" w:rsidR="003107F4" w:rsidRDefault="003107F4" w:rsidP="003107F4">
      <w:pPr>
        <w:pStyle w:val="B1"/>
        <w:ind w:left="0" w:firstLine="0"/>
      </w:pPr>
      <w:r w:rsidRPr="003107F4">
        <w:t xml:space="preserve">Hence, RAN2 should answer </w:t>
      </w:r>
      <w:r>
        <w:t>the Q2.1 and Q2.2 saying that the same parameters that are needed for serving cell are also needed for non-serving cell, and it would be preferable to have only one non-serving cell configuration in Rel-17.</w:t>
      </w:r>
      <w:r w:rsidRPr="003107F4">
        <w:rPr>
          <w:b/>
          <w:bCs/>
        </w:rPr>
        <w:t>Proposal 2:</w:t>
      </w:r>
      <w:r>
        <w:t xml:space="preserve"> For non-serving cell operation, the same configuration as for serving cell is needed.</w:t>
      </w:r>
    </w:p>
    <w:p w14:paraId="3FA0B22F" w14:textId="449CA4F0" w:rsidR="00045E6E" w:rsidRDefault="003107F4" w:rsidP="003107F4">
      <w:pPr>
        <w:pStyle w:val="B1"/>
        <w:ind w:left="0" w:firstLine="0"/>
      </w:pPr>
      <w:r w:rsidRPr="003107F4">
        <w:rPr>
          <w:b/>
          <w:bCs/>
        </w:rPr>
        <w:t>Proposal 3:</w:t>
      </w:r>
      <w:r>
        <w:t xml:space="preserve"> Rel-17 should not consider more than one non-serving cell, configured by RRC</w:t>
      </w:r>
      <w:r w:rsidR="00045E6E">
        <w:t>.</w:t>
      </w:r>
    </w:p>
    <w:p w14:paraId="489C464F" w14:textId="19F188CB" w:rsidR="003107F4" w:rsidRPr="003107F4" w:rsidRDefault="00045E6E" w:rsidP="003107F4">
      <w:pPr>
        <w:pStyle w:val="B1"/>
        <w:ind w:left="0" w:firstLine="0"/>
      </w:pPr>
      <w:r w:rsidRPr="003042F9">
        <w:rPr>
          <w:b/>
          <w:bCs/>
        </w:rPr>
        <w:t>Proposal 4:</w:t>
      </w:r>
      <w:r>
        <w:t xml:space="preserve"> Rel-17 should only consider RRC-based </w:t>
      </w:r>
      <w:r w:rsidR="002F005A">
        <w:t xml:space="preserve"> change of </w:t>
      </w:r>
      <w:r w:rsidR="003107F4">
        <w:t>non-serving cell.</w:t>
      </w:r>
    </w:p>
    <w:p w14:paraId="2B6967A6" w14:textId="7EF96888" w:rsidR="009F4F40" w:rsidRPr="006E13D1" w:rsidRDefault="009F4F40" w:rsidP="009F4F40">
      <w:pPr>
        <w:pStyle w:val="Heading2"/>
      </w:pPr>
      <w:r>
        <w:t>2</w:t>
      </w:r>
      <w:r w:rsidRPr="006E13D1">
        <w:t>.</w:t>
      </w:r>
      <w:r>
        <w:t>3</w:t>
      </w:r>
      <w:r w:rsidRPr="006E13D1">
        <w:tab/>
      </w:r>
      <w:r>
        <w:t>CU/DU-split impacts</w:t>
      </w:r>
      <w:r w:rsidRPr="009F4F40">
        <w:t xml:space="preserve"> </w:t>
      </w:r>
      <w:r>
        <w:t>of L1/L2 mobility</w:t>
      </w:r>
    </w:p>
    <w:p w14:paraId="2D830F0D" w14:textId="73F33ED3" w:rsidR="004170A0" w:rsidRDefault="004170A0" w:rsidP="004170A0">
      <w:r>
        <w:t xml:space="preserve">The CU/DU-split is described in the </w:t>
      </w:r>
      <w:hyperlink r:id="rId23" w:history="1">
        <w:r w:rsidRPr="008D451C">
          <w:rPr>
            <w:rStyle w:val="Hyperlink"/>
          </w:rPr>
          <w:t>TS38.401</w:t>
        </w:r>
      </w:hyperlink>
      <w:r>
        <w:t>, and to illustrate how it works (for the purposes of this discussion), we excerpt the relevant picture shown in figure 3 below.</w:t>
      </w:r>
    </w:p>
    <w:p w14:paraId="17E52C4F" w14:textId="77777777" w:rsidR="004170A0" w:rsidRDefault="004170A0" w:rsidP="004170A0">
      <w:pPr>
        <w:jc w:val="center"/>
      </w:pPr>
      <w:r w:rsidRPr="00782B66">
        <w:rPr>
          <w:noProof/>
        </w:rPr>
        <w:drawing>
          <wp:inline distT="0" distB="0" distL="0" distR="0" wp14:anchorId="60807709" wp14:editId="3B63754D">
            <wp:extent cx="2962910" cy="2106930"/>
            <wp:effectExtent l="0" t="0" r="889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962910" cy="2106930"/>
                    </a:xfrm>
                    <a:prstGeom prst="rect">
                      <a:avLst/>
                    </a:prstGeom>
                    <a:noFill/>
                    <a:ln>
                      <a:noFill/>
                    </a:ln>
                  </pic:spPr>
                </pic:pic>
              </a:graphicData>
            </a:graphic>
          </wp:inline>
        </w:drawing>
      </w:r>
    </w:p>
    <w:p w14:paraId="4DE18A38" w14:textId="18BF3744" w:rsidR="004170A0" w:rsidRDefault="004170A0" w:rsidP="004170A0">
      <w:pPr>
        <w:pStyle w:val="Caption"/>
        <w:jc w:val="center"/>
      </w:pPr>
      <w:r w:rsidRPr="00D55B33">
        <w:rPr>
          <w:b/>
          <w:bCs/>
          <w:i w:val="0"/>
          <w:iCs w:val="0"/>
        </w:rPr>
        <w:t xml:space="preserve">Figure </w:t>
      </w:r>
      <w:r w:rsidRPr="00D55B33">
        <w:rPr>
          <w:b/>
          <w:bCs/>
          <w:i w:val="0"/>
          <w:iCs w:val="0"/>
        </w:rPr>
        <w:fldChar w:fldCharType="begin"/>
      </w:r>
      <w:r w:rsidRPr="00D55B33">
        <w:rPr>
          <w:b/>
          <w:bCs/>
          <w:i w:val="0"/>
          <w:iCs w:val="0"/>
        </w:rPr>
        <w:instrText xml:space="preserve"> SEQ Figure \* ARABIC </w:instrText>
      </w:r>
      <w:r w:rsidRPr="00D55B33">
        <w:rPr>
          <w:b/>
          <w:bCs/>
          <w:i w:val="0"/>
          <w:iCs w:val="0"/>
        </w:rPr>
        <w:fldChar w:fldCharType="separate"/>
      </w:r>
      <w:r>
        <w:rPr>
          <w:b/>
          <w:bCs/>
          <w:i w:val="0"/>
          <w:iCs w:val="0"/>
          <w:noProof/>
        </w:rPr>
        <w:t>2</w:t>
      </w:r>
      <w:r w:rsidRPr="00D55B33">
        <w:rPr>
          <w:b/>
          <w:bCs/>
          <w:i w:val="0"/>
          <w:iCs w:val="0"/>
        </w:rPr>
        <w:fldChar w:fldCharType="end"/>
      </w:r>
      <w:r w:rsidRPr="00D55B33">
        <w:rPr>
          <w:b/>
          <w:bCs/>
          <w:i w:val="0"/>
          <w:iCs w:val="0"/>
        </w:rPr>
        <w:t xml:space="preserve">. </w:t>
      </w:r>
      <w:r>
        <w:rPr>
          <w:b/>
          <w:bCs/>
          <w:i w:val="0"/>
          <w:iCs w:val="0"/>
        </w:rPr>
        <w:t xml:space="preserve">Overall architecture of CU/DU-split (excerpted from </w:t>
      </w:r>
      <w:hyperlink r:id="rId25" w:history="1">
        <w:r w:rsidRPr="008D451C">
          <w:rPr>
            <w:rStyle w:val="Hyperlink"/>
            <w:b/>
            <w:bCs/>
            <w:i w:val="0"/>
            <w:iCs w:val="0"/>
          </w:rPr>
          <w:t>TS38.401</w:t>
        </w:r>
      </w:hyperlink>
      <w:r>
        <w:rPr>
          <w:b/>
          <w:bCs/>
          <w:i w:val="0"/>
          <w:iCs w:val="0"/>
        </w:rPr>
        <w:t xml:space="preserve">, </w:t>
      </w:r>
      <w:r w:rsidRPr="004170A0">
        <w:rPr>
          <w:b/>
          <w:bCs/>
          <w:i w:val="0"/>
          <w:iCs w:val="0"/>
        </w:rPr>
        <w:t>Figure 6.1.2-1</w:t>
      </w:r>
      <w:r>
        <w:rPr>
          <w:b/>
          <w:bCs/>
          <w:i w:val="0"/>
          <w:iCs w:val="0"/>
        </w:rPr>
        <w:t>)</w:t>
      </w:r>
    </w:p>
    <w:p w14:paraId="35315DC8" w14:textId="17A6C6B5" w:rsidR="009F4F40" w:rsidRDefault="007F07DA" w:rsidP="007A2E55">
      <w:r>
        <w:t xml:space="preserve">The questions 3 and 4 in the RAN1 LS </w:t>
      </w:r>
      <w:hyperlink r:id="rId26" w:history="1">
        <w:r w:rsidRPr="00B952C2">
          <w:rPr>
            <w:rStyle w:val="Hyperlink"/>
            <w:rFonts w:cs="Arial"/>
          </w:rPr>
          <w:t>R1-2102248</w:t>
        </w:r>
      </w:hyperlink>
      <w:r>
        <w:t xml:space="preserve"> concern the impacts to </w:t>
      </w:r>
      <w:r>
        <w:rPr>
          <w:highlight w:val="red"/>
        </w:rPr>
        <w:t>C</w:t>
      </w:r>
      <w:r w:rsidRPr="007F07DA">
        <w:rPr>
          <w:highlight w:val="red"/>
        </w:rPr>
        <w:t>U/DU-split</w:t>
      </w:r>
      <w:r>
        <w:t xml:space="preserve"> and independent/common resources management in the </w:t>
      </w:r>
      <w:r w:rsidRPr="00A5127C">
        <w:rPr>
          <w:highlight w:val="yellow"/>
        </w:rPr>
        <w:t>serving cell</w:t>
      </w:r>
      <w:r>
        <w:t xml:space="preserve"> and the </w:t>
      </w:r>
      <w:r w:rsidRPr="00A5127C">
        <w:rPr>
          <w:highlight w:val="cyan"/>
        </w:rPr>
        <w:t>non-serving cell</w:t>
      </w:r>
      <w:r>
        <w:t xml:space="preserve">. The highlights below illustrate one possible way to separate the questions related to </w:t>
      </w:r>
      <w:r w:rsidR="00B57BCB">
        <w:t>serving and non-serving</w:t>
      </w:r>
      <w:r>
        <w:t xml:space="preserve"> cell</w:t>
      </w:r>
      <w:r w:rsidR="00B57BCB">
        <w:t>s</w:t>
      </w:r>
      <w:r>
        <w:t>.</w:t>
      </w:r>
    </w:p>
    <w:tbl>
      <w:tblPr>
        <w:tblStyle w:val="TableGrid"/>
        <w:tblW w:w="0" w:type="auto"/>
        <w:tblLook w:val="04A0" w:firstRow="1" w:lastRow="0" w:firstColumn="1" w:lastColumn="0" w:noHBand="0" w:noVBand="1"/>
      </w:tblPr>
      <w:tblGrid>
        <w:gridCol w:w="9631"/>
      </w:tblGrid>
      <w:tr w:rsidR="009F4F40" w14:paraId="45A89BF9" w14:textId="77777777" w:rsidTr="003107F4">
        <w:tc>
          <w:tcPr>
            <w:tcW w:w="9631" w:type="dxa"/>
          </w:tcPr>
          <w:p w14:paraId="08A230C4" w14:textId="77777777" w:rsidR="009F4F40" w:rsidRDefault="009F4F40" w:rsidP="009F4F40">
            <w:pPr>
              <w:snapToGrid w:val="0"/>
              <w:jc w:val="both"/>
              <w:rPr>
                <w:sz w:val="22"/>
                <w:szCs w:val="28"/>
                <w:lang w:eastAsia="zh-CN"/>
              </w:rPr>
            </w:pPr>
            <w:r>
              <w:rPr>
                <w:b/>
                <w:bCs/>
                <w:sz w:val="22"/>
                <w:szCs w:val="22"/>
                <w:lang w:eastAsia="zh-CN"/>
              </w:rPr>
              <w:t>Question 3</w:t>
            </w:r>
            <w:r w:rsidRPr="00983833">
              <w:rPr>
                <w:sz w:val="22"/>
                <w:szCs w:val="22"/>
                <w:lang w:eastAsia="zh-CN"/>
              </w:rPr>
              <w:t>:</w:t>
            </w:r>
            <w:r w:rsidRPr="003D09DB">
              <w:rPr>
                <w:sz w:val="22"/>
                <w:szCs w:val="28"/>
                <w:lang w:eastAsia="zh-CN"/>
              </w:rPr>
              <w:t xml:space="preserve"> </w:t>
            </w:r>
            <w:r>
              <w:rPr>
                <w:sz w:val="22"/>
                <w:szCs w:val="28"/>
                <w:lang w:eastAsia="zh-CN"/>
              </w:rPr>
              <w:t>In regard of C-RNTI:</w:t>
            </w:r>
          </w:p>
          <w:p w14:paraId="51357CFC" w14:textId="77777777" w:rsidR="009F4F40" w:rsidRPr="005E199B" w:rsidRDefault="009F4F40" w:rsidP="009F4F40">
            <w:pPr>
              <w:pStyle w:val="ListParagraph"/>
              <w:numPr>
                <w:ilvl w:val="0"/>
                <w:numId w:val="9"/>
              </w:numPr>
              <w:snapToGrid w:val="0"/>
              <w:jc w:val="both"/>
              <w:rPr>
                <w:sz w:val="22"/>
                <w:szCs w:val="22"/>
                <w:lang w:eastAsia="zh-CN"/>
              </w:rPr>
            </w:pPr>
            <w:r w:rsidRPr="007F07DA">
              <w:rPr>
                <w:sz w:val="22"/>
                <w:szCs w:val="28"/>
                <w:highlight w:val="cyan"/>
                <w:lang w:val="en-US" w:eastAsia="zh-CN"/>
              </w:rPr>
              <w:lastRenderedPageBreak/>
              <w:t>Is</w:t>
            </w:r>
            <w:r w:rsidRPr="007F07DA">
              <w:rPr>
                <w:sz w:val="22"/>
                <w:szCs w:val="28"/>
                <w:highlight w:val="cyan"/>
                <w:lang w:eastAsia="zh-CN"/>
              </w:rPr>
              <w:t xml:space="preserve"> </w:t>
            </w:r>
            <w:r w:rsidRPr="007F07DA">
              <w:rPr>
                <w:sz w:val="22"/>
                <w:szCs w:val="28"/>
                <w:highlight w:val="cyan"/>
                <w:lang w:val="en-US" w:eastAsia="zh-CN"/>
              </w:rPr>
              <w:t>there a need to assign a UE a separate</w:t>
            </w:r>
            <w:r w:rsidRPr="007F07DA">
              <w:rPr>
                <w:sz w:val="22"/>
                <w:szCs w:val="28"/>
                <w:highlight w:val="cyan"/>
                <w:lang w:eastAsia="zh-CN"/>
              </w:rPr>
              <w:t xml:space="preserve"> C-RNTI for </w:t>
            </w:r>
            <w:r w:rsidRPr="007F07DA">
              <w:rPr>
                <w:sz w:val="22"/>
                <w:highlight w:val="cyan"/>
                <w:lang w:eastAsia="ja-JP"/>
              </w:rPr>
              <w:t>DL reception from and UL transmission to a non-serving cell,</w:t>
            </w:r>
            <w:r>
              <w:rPr>
                <w:sz w:val="22"/>
                <w:lang w:val="en-US" w:eastAsia="ja-JP"/>
              </w:rPr>
              <w:t xml:space="preserve"> </w:t>
            </w:r>
            <w:r w:rsidRPr="007F07DA">
              <w:rPr>
                <w:sz w:val="22"/>
                <w:highlight w:val="yellow"/>
                <w:lang w:val="en-US" w:eastAsia="ja-JP"/>
              </w:rPr>
              <w:t>or can the same C-RNTI from the serving cell be reused</w:t>
            </w:r>
            <w:r>
              <w:rPr>
                <w:sz w:val="22"/>
                <w:lang w:val="en-US" w:eastAsia="ja-JP"/>
              </w:rPr>
              <w:t>,</w:t>
            </w:r>
            <w:r w:rsidRPr="003D09DB">
              <w:rPr>
                <w:sz w:val="22"/>
                <w:lang w:eastAsia="ja-JP"/>
              </w:rPr>
              <w:t xml:space="preserve"> </w:t>
            </w:r>
            <w:r w:rsidRPr="007F07DA">
              <w:rPr>
                <w:sz w:val="22"/>
                <w:highlight w:val="cyan"/>
                <w:lang w:eastAsia="zh-CN"/>
              </w:rPr>
              <w:t xml:space="preserve">at least </w:t>
            </w:r>
            <w:r w:rsidRPr="007F07DA">
              <w:rPr>
                <w:sz w:val="22"/>
                <w:highlight w:val="cyan"/>
                <w:lang w:val="en-US" w:eastAsia="zh-CN"/>
              </w:rPr>
              <w:t xml:space="preserve">for transmission and reception </w:t>
            </w:r>
            <w:r w:rsidRPr="007F07DA">
              <w:rPr>
                <w:sz w:val="22"/>
                <w:highlight w:val="cyan"/>
                <w:lang w:eastAsia="zh-CN"/>
              </w:rPr>
              <w:t>on UE-dedicated PDSCH, PDCCH, PUSCH, and PUCCH</w:t>
            </w:r>
            <w:r w:rsidRPr="007F07DA">
              <w:rPr>
                <w:sz w:val="22"/>
                <w:highlight w:val="cyan"/>
                <w:lang w:val="en-US" w:eastAsia="zh-CN"/>
              </w:rPr>
              <w:t>?</w:t>
            </w:r>
            <w:r w:rsidRPr="003D09DB">
              <w:rPr>
                <w:sz w:val="22"/>
                <w:lang w:eastAsia="zh-CN"/>
              </w:rPr>
              <w:t xml:space="preserve"> </w:t>
            </w:r>
          </w:p>
          <w:p w14:paraId="0C08A8B7" w14:textId="77777777" w:rsidR="009F4F40" w:rsidRPr="007F07DA" w:rsidRDefault="009F4F40" w:rsidP="009F4F40">
            <w:pPr>
              <w:pStyle w:val="ListParagraph"/>
              <w:numPr>
                <w:ilvl w:val="0"/>
                <w:numId w:val="9"/>
              </w:numPr>
              <w:snapToGrid w:val="0"/>
              <w:jc w:val="both"/>
              <w:rPr>
                <w:sz w:val="22"/>
                <w:szCs w:val="22"/>
                <w:highlight w:val="yellow"/>
                <w:lang w:eastAsia="zh-CN"/>
              </w:rPr>
            </w:pPr>
            <w:r w:rsidRPr="007F07DA">
              <w:rPr>
                <w:sz w:val="22"/>
                <w:szCs w:val="22"/>
                <w:highlight w:val="yellow"/>
                <w:lang w:val="en-US" w:eastAsia="zh-CN"/>
              </w:rPr>
              <w:t xml:space="preserve">In restricting the use of the same </w:t>
            </w:r>
            <w:r w:rsidRPr="007F07DA">
              <w:rPr>
                <w:sz w:val="22"/>
                <w:highlight w:val="yellow"/>
                <w:lang w:val="en-US" w:eastAsia="ja-JP"/>
              </w:rPr>
              <w:t>C-RNTI for serving and non-serving cells, what would be the impact in applicable use cases and/or required specification support, if any?</w:t>
            </w:r>
          </w:p>
          <w:p w14:paraId="433D2DCD" w14:textId="77777777" w:rsidR="009F4F40" w:rsidRPr="007F07DA" w:rsidRDefault="009F4F40" w:rsidP="009F4F40">
            <w:pPr>
              <w:pStyle w:val="ListParagraph"/>
              <w:numPr>
                <w:ilvl w:val="0"/>
                <w:numId w:val="9"/>
              </w:numPr>
              <w:snapToGrid w:val="0"/>
              <w:jc w:val="both"/>
              <w:rPr>
                <w:sz w:val="22"/>
                <w:szCs w:val="22"/>
                <w:highlight w:val="cyan"/>
                <w:lang w:eastAsia="zh-CN"/>
              </w:rPr>
            </w:pPr>
            <w:r w:rsidRPr="007F07DA">
              <w:rPr>
                <w:sz w:val="22"/>
                <w:highlight w:val="cyan"/>
                <w:lang w:eastAsia="zh-CN"/>
              </w:rPr>
              <w:t>If separate C-RNTI</w:t>
            </w:r>
            <w:r w:rsidRPr="007F07DA">
              <w:rPr>
                <w:sz w:val="22"/>
                <w:highlight w:val="cyan"/>
                <w:lang w:val="en-US" w:eastAsia="zh-CN"/>
              </w:rPr>
              <w:t>s</w:t>
            </w:r>
            <w:r w:rsidRPr="007F07DA">
              <w:rPr>
                <w:sz w:val="22"/>
                <w:highlight w:val="cyan"/>
                <w:lang w:eastAsia="zh-CN"/>
              </w:rPr>
              <w:t xml:space="preserve"> are </w:t>
            </w:r>
            <w:r w:rsidRPr="007F07DA">
              <w:rPr>
                <w:sz w:val="22"/>
                <w:highlight w:val="cyan"/>
                <w:lang w:val="en-US" w:eastAsia="zh-CN"/>
              </w:rPr>
              <w:t>considered necessary in some cases,</w:t>
            </w:r>
            <w:r w:rsidRPr="007F07DA">
              <w:rPr>
                <w:sz w:val="22"/>
                <w:highlight w:val="cyan"/>
                <w:lang w:eastAsia="zh-CN"/>
              </w:rPr>
              <w:t xml:space="preserve"> for serving and non-serving cells, how would this be configured for UE,</w:t>
            </w:r>
            <w:r w:rsidRPr="007F07DA">
              <w:rPr>
                <w:sz w:val="22"/>
                <w:highlight w:val="cyan"/>
                <w:lang w:val="en-US" w:eastAsia="zh-CN"/>
              </w:rPr>
              <w:t xml:space="preserve"> i.e.</w:t>
            </w:r>
            <w:r w:rsidRPr="007F07DA">
              <w:rPr>
                <w:sz w:val="22"/>
                <w:highlight w:val="cyan"/>
                <w:lang w:eastAsia="zh-CN"/>
              </w:rPr>
              <w:t xml:space="preserve"> </w:t>
            </w:r>
            <w:r w:rsidRPr="007F07DA">
              <w:rPr>
                <w:sz w:val="22"/>
                <w:highlight w:val="cyan"/>
                <w:lang w:val="en-US" w:eastAsia="zh-CN"/>
              </w:rPr>
              <w:t xml:space="preserve">is </w:t>
            </w:r>
            <w:r w:rsidRPr="007F07DA">
              <w:rPr>
                <w:sz w:val="22"/>
                <w:highlight w:val="cyan"/>
                <w:lang w:eastAsia="zh-CN"/>
              </w:rPr>
              <w:t xml:space="preserve">RRC reconfiguration </w:t>
            </w:r>
            <w:r w:rsidRPr="007F07DA">
              <w:rPr>
                <w:sz w:val="22"/>
                <w:highlight w:val="cyan"/>
                <w:lang w:val="en-US" w:eastAsia="zh-CN"/>
              </w:rPr>
              <w:t xml:space="preserve">signaling </w:t>
            </w:r>
            <w:r w:rsidRPr="007F07DA">
              <w:rPr>
                <w:sz w:val="22"/>
                <w:highlight w:val="cyan"/>
                <w:lang w:eastAsia="zh-CN"/>
              </w:rPr>
              <w:t xml:space="preserve">or some other (dynamic) signaling needed for </w:t>
            </w:r>
            <w:r w:rsidRPr="007F07DA">
              <w:rPr>
                <w:sz w:val="22"/>
                <w:highlight w:val="cyan"/>
                <w:lang w:val="en-US" w:eastAsia="zh-CN"/>
              </w:rPr>
              <w:t xml:space="preserve">configuring the separate </w:t>
            </w:r>
            <w:r w:rsidRPr="007F07DA">
              <w:rPr>
                <w:sz w:val="22"/>
                <w:highlight w:val="cyan"/>
                <w:lang w:eastAsia="zh-CN"/>
              </w:rPr>
              <w:t>C-RNTI</w:t>
            </w:r>
            <w:r w:rsidRPr="007F07DA">
              <w:rPr>
                <w:sz w:val="22"/>
                <w:highlight w:val="cyan"/>
                <w:lang w:val="en-US" w:eastAsia="zh-CN"/>
              </w:rPr>
              <w:t>(s)?</w:t>
            </w:r>
          </w:p>
          <w:p w14:paraId="1D12E997" w14:textId="77777777" w:rsidR="009F4F40" w:rsidRDefault="009F4F40" w:rsidP="009F4F40">
            <w:pPr>
              <w:snapToGrid w:val="0"/>
              <w:jc w:val="both"/>
              <w:rPr>
                <w:sz w:val="22"/>
                <w:szCs w:val="22"/>
                <w:lang w:eastAsia="zh-CN"/>
              </w:rPr>
            </w:pPr>
          </w:p>
          <w:p w14:paraId="799810B5" w14:textId="77777777" w:rsidR="009F4F40" w:rsidRPr="007F07DA" w:rsidRDefault="009F4F40" w:rsidP="009F4F40">
            <w:pPr>
              <w:snapToGrid w:val="0"/>
              <w:jc w:val="both"/>
              <w:rPr>
                <w:sz w:val="22"/>
                <w:szCs w:val="22"/>
                <w:highlight w:val="red"/>
                <w:lang w:eastAsia="zh-CN"/>
              </w:rPr>
            </w:pPr>
            <w:r>
              <w:rPr>
                <w:b/>
                <w:bCs/>
                <w:sz w:val="22"/>
                <w:szCs w:val="22"/>
                <w:lang w:eastAsia="zh-CN"/>
              </w:rPr>
              <w:t>Question 4</w:t>
            </w:r>
            <w:r w:rsidRPr="00983833">
              <w:rPr>
                <w:sz w:val="22"/>
                <w:szCs w:val="22"/>
                <w:lang w:eastAsia="zh-CN"/>
              </w:rPr>
              <w:t>:</w:t>
            </w:r>
            <w:r>
              <w:rPr>
                <w:sz w:val="22"/>
                <w:szCs w:val="22"/>
                <w:lang w:eastAsia="zh-CN"/>
              </w:rPr>
              <w:t xml:space="preserve"> </w:t>
            </w:r>
            <w:r w:rsidRPr="007F07DA">
              <w:rPr>
                <w:sz w:val="22"/>
                <w:szCs w:val="22"/>
                <w:highlight w:val="red"/>
                <w:lang w:eastAsia="zh-CN"/>
              </w:rPr>
              <w:t>In regard of CU-DU split, from RAN2/3 perspective</w:t>
            </w:r>
            <w:r w:rsidRPr="007F07DA">
              <w:rPr>
                <w:sz w:val="22"/>
                <w:szCs w:val="28"/>
                <w:highlight w:val="red"/>
                <w:lang w:eastAsia="zh-CN"/>
              </w:rPr>
              <w:t xml:space="preserve">, is there any difference between supporting intra-DU only and supporting inter- in addition to intra-DU, in terms of the following? </w:t>
            </w:r>
          </w:p>
          <w:p w14:paraId="59C5DB33" w14:textId="77777777" w:rsidR="009F4F40" w:rsidRPr="007F07DA" w:rsidRDefault="009F4F40" w:rsidP="009F4F40">
            <w:pPr>
              <w:pStyle w:val="ListParagraph"/>
              <w:numPr>
                <w:ilvl w:val="0"/>
                <w:numId w:val="10"/>
              </w:numPr>
              <w:snapToGrid w:val="0"/>
              <w:jc w:val="both"/>
              <w:rPr>
                <w:sz w:val="22"/>
                <w:szCs w:val="22"/>
                <w:highlight w:val="red"/>
                <w:lang w:eastAsia="zh-CN"/>
              </w:rPr>
            </w:pPr>
            <w:r w:rsidRPr="007F07DA">
              <w:rPr>
                <w:sz w:val="22"/>
                <w:szCs w:val="22"/>
                <w:highlight w:val="red"/>
                <w:lang w:val="en-US" w:eastAsia="zh-CN"/>
              </w:rPr>
              <w:t>The associated RAN2 specification</w:t>
            </w:r>
            <w:r w:rsidRPr="007F07DA">
              <w:rPr>
                <w:sz w:val="22"/>
                <w:szCs w:val="28"/>
                <w:highlight w:val="red"/>
                <w:lang w:eastAsia="zh-CN"/>
              </w:rPr>
              <w:t xml:space="preserve"> impact</w:t>
            </w:r>
            <w:r w:rsidRPr="007F07DA">
              <w:rPr>
                <w:sz w:val="22"/>
                <w:szCs w:val="28"/>
                <w:highlight w:val="red"/>
                <w:lang w:val="en-US" w:eastAsia="zh-CN"/>
              </w:rPr>
              <w:t>,</w:t>
            </w:r>
          </w:p>
          <w:p w14:paraId="16771FA7" w14:textId="77777777" w:rsidR="009F4F40" w:rsidRPr="007F07DA" w:rsidRDefault="009F4F40" w:rsidP="009F4F40">
            <w:pPr>
              <w:pStyle w:val="ListParagraph"/>
              <w:numPr>
                <w:ilvl w:val="0"/>
                <w:numId w:val="10"/>
              </w:numPr>
              <w:snapToGrid w:val="0"/>
              <w:jc w:val="both"/>
              <w:rPr>
                <w:sz w:val="22"/>
                <w:szCs w:val="22"/>
                <w:highlight w:val="red"/>
                <w:lang w:eastAsia="zh-CN"/>
              </w:rPr>
            </w:pPr>
            <w:r w:rsidRPr="007F07DA">
              <w:rPr>
                <w:sz w:val="22"/>
                <w:szCs w:val="22"/>
                <w:highlight w:val="red"/>
                <w:lang w:val="en-US" w:eastAsia="zh-CN"/>
              </w:rPr>
              <w:t xml:space="preserve">Applicable use cases (e.g. deployment scenarios), and </w:t>
            </w:r>
          </w:p>
          <w:p w14:paraId="335B03AC" w14:textId="0A5DF49A" w:rsidR="009F4F40" w:rsidRPr="009F4F40" w:rsidRDefault="009F4F40" w:rsidP="009F4F40">
            <w:pPr>
              <w:pStyle w:val="ListParagraph"/>
              <w:numPr>
                <w:ilvl w:val="0"/>
                <w:numId w:val="10"/>
              </w:numPr>
              <w:snapToGrid w:val="0"/>
              <w:jc w:val="both"/>
              <w:rPr>
                <w:sz w:val="22"/>
                <w:szCs w:val="22"/>
                <w:lang w:eastAsia="zh-CN"/>
              </w:rPr>
            </w:pPr>
            <w:r w:rsidRPr="007F07DA">
              <w:rPr>
                <w:sz w:val="22"/>
                <w:szCs w:val="22"/>
                <w:highlight w:val="red"/>
                <w:lang w:val="en-US" w:eastAsia="zh-CN"/>
              </w:rPr>
              <w:t>Network inter-operability (e.g. across different gNB vendors)</w:t>
            </w:r>
          </w:p>
        </w:tc>
      </w:tr>
    </w:tbl>
    <w:p w14:paraId="586CCE31" w14:textId="39F68432" w:rsidR="009F4F40" w:rsidRDefault="009F4F40" w:rsidP="007A2E55"/>
    <w:p w14:paraId="2D574C7A" w14:textId="392C0A66" w:rsidR="003107F4" w:rsidRDefault="003107F4" w:rsidP="007A2E55">
      <w:r>
        <w:t xml:space="preserve">On the question 3, RAN1 seems to think that the same C-RNTI could be assigned to UE for both serving and non-serving cells. However, this goes quite clearly against what RAN2 has always been assuming: Each cell handles its own radio identifiers. That is both efficient from radio resource management viewpoint and aligns with the "source adapts to the target" - principle </w:t>
      </w:r>
      <w:r w:rsidR="008D451C">
        <w:t xml:space="preserve">used </w:t>
      </w:r>
      <w:r>
        <w:t xml:space="preserve">in handovers. If the non-serving cell would be forced to use the C-RNTI assigned by the serving cell, </w:t>
      </w:r>
      <w:r w:rsidR="008D451C">
        <w:t>there would be more limitations and impacts to the network management</w:t>
      </w:r>
      <w:r>
        <w:t>.</w:t>
      </w:r>
    </w:p>
    <w:p w14:paraId="413A3453" w14:textId="79C71C7B" w:rsidR="003107F4" w:rsidRDefault="003107F4" w:rsidP="007A2E55">
      <w:r w:rsidRPr="003107F4">
        <w:rPr>
          <w:b/>
          <w:bCs/>
        </w:rPr>
        <w:t xml:space="preserve">Observation </w:t>
      </w:r>
      <w:r w:rsidR="00E01821">
        <w:rPr>
          <w:b/>
          <w:bCs/>
        </w:rPr>
        <w:t>9</w:t>
      </w:r>
      <w:r w:rsidRPr="003107F4">
        <w:rPr>
          <w:b/>
          <w:bCs/>
        </w:rPr>
        <w:t>:</w:t>
      </w:r>
      <w:r>
        <w:t xml:space="preserve"> RAN2 normally assumes that each cell assi</w:t>
      </w:r>
      <w:r w:rsidR="008B3122">
        <w:t>gn</w:t>
      </w:r>
      <w:r w:rsidR="008D451C">
        <w:t>s</w:t>
      </w:r>
      <w:r>
        <w:t xml:space="preserve"> their own C-RNTIs.</w:t>
      </w:r>
    </w:p>
    <w:p w14:paraId="70DEE765" w14:textId="2D422539" w:rsidR="003107F4" w:rsidRDefault="003107F4" w:rsidP="007A2E55">
      <w:r>
        <w:t>It's also not at all clear what is the motivation of taking away the per-cell C-RNTI assignment: to our understanding, C-RNTI is just the identifier used to address UE via PDCCH. If UE can receive two different cells, why could it now receive two different C-RNTIs as well? As the RAN1 question doesn't reveal the background for this, it is very difficult to understand whether RAN1 thinks there would be some cost associated to having two C-RNTIs, so from RAN2 perspective it seems clear that each cell should be allowed to assign its own C-RNTI. This would then also allow network, if it chooses to do so, to utilize the same C-RNTI for a UE involved in the L1/L2-centric mobility if it makes sense, i.e. allowing separate C-RNTIs encompasses the same C-RNTI use case as well.</w:t>
      </w:r>
    </w:p>
    <w:p w14:paraId="0832C220" w14:textId="523A7559" w:rsidR="003107F4" w:rsidRDefault="003107F4" w:rsidP="007A2E55">
      <w:r w:rsidRPr="007E03E7">
        <w:rPr>
          <w:b/>
          <w:bCs/>
        </w:rPr>
        <w:t xml:space="preserve">Proposal </w:t>
      </w:r>
      <w:r w:rsidR="00E01821">
        <w:rPr>
          <w:b/>
          <w:bCs/>
        </w:rPr>
        <w:t>5</w:t>
      </w:r>
      <w:r w:rsidRPr="007E03E7">
        <w:rPr>
          <w:b/>
          <w:bCs/>
        </w:rPr>
        <w:t>:</w:t>
      </w:r>
      <w:r>
        <w:t xml:space="preserve"> The C-RNTI used for non-serving cell may be different from serving cell C-RNTI (up to target cell to assign the used C-RNTI).</w:t>
      </w:r>
    </w:p>
    <w:p w14:paraId="797AEE96" w14:textId="3B32F069" w:rsidR="003107F4" w:rsidRDefault="003107F4" w:rsidP="007A2E55">
      <w:r>
        <w:t>It also seems reasonable to assume that, just like currently, UE would obtain the non-serving cell C-RNTI via either 1) random access (i.e. similar to initial connection setup) or 2) RRC configuration (i.e. similar to handover). While the RRC configuration option would seem most suitable here, it's still not clear what would be required for UE to access the non-serving cell, so the first option might also be feasible if UE would have both UL and DL towards the non-serving cell. But using RRC configuration (from target cell) should be the baseline.</w:t>
      </w:r>
    </w:p>
    <w:p w14:paraId="6CD81F97" w14:textId="27B4C40E" w:rsidR="003107F4" w:rsidRDefault="003107F4" w:rsidP="007A2E55">
      <w:r w:rsidRPr="007E03E7">
        <w:rPr>
          <w:b/>
          <w:bCs/>
        </w:rPr>
        <w:t xml:space="preserve">Observation </w:t>
      </w:r>
      <w:r w:rsidR="007C3B0D">
        <w:rPr>
          <w:b/>
          <w:bCs/>
        </w:rPr>
        <w:t>10</w:t>
      </w:r>
      <w:r w:rsidRPr="007E03E7">
        <w:rPr>
          <w:b/>
          <w:bCs/>
        </w:rPr>
        <w:t>:</w:t>
      </w:r>
      <w:r>
        <w:t xml:space="preserve"> </w:t>
      </w:r>
      <w:r w:rsidR="007E03E7">
        <w:t>Providing C-RNTI via RRC configuration seems like a reasonable baseline assumption.</w:t>
      </w:r>
    </w:p>
    <w:p w14:paraId="68ADF863" w14:textId="01D7D6B5" w:rsidR="007E03E7" w:rsidRDefault="007E03E7" w:rsidP="007A2E55">
      <w:r w:rsidRPr="007E03E7">
        <w:rPr>
          <w:b/>
          <w:bCs/>
        </w:rPr>
        <w:t xml:space="preserve">Proposal </w:t>
      </w:r>
      <w:r w:rsidR="0084676A">
        <w:rPr>
          <w:b/>
          <w:bCs/>
        </w:rPr>
        <w:t>6</w:t>
      </w:r>
      <w:r w:rsidRPr="007E03E7">
        <w:rPr>
          <w:b/>
          <w:bCs/>
        </w:rPr>
        <w:t>:</w:t>
      </w:r>
      <w:r>
        <w:t xml:space="preserve"> The C-RNTI for non-serving cell </w:t>
      </w:r>
      <w:r w:rsidR="00623447">
        <w:t xml:space="preserve">can be conveyed </w:t>
      </w:r>
      <w:r>
        <w:t xml:space="preserve">as part of the RRC configuration. </w:t>
      </w:r>
    </w:p>
    <w:p w14:paraId="27F9C595" w14:textId="729E13FE" w:rsidR="007E03E7" w:rsidRDefault="007E03E7" w:rsidP="007A2E55">
      <w:r>
        <w:t xml:space="preserve">Then on the CU/DU-split question, the gNB-splitting is mostly invisible to RAN2 specifications apart from inter-node messages and using OCTET STRING for </w:t>
      </w:r>
      <w:r w:rsidRPr="007E03E7">
        <w:rPr>
          <w:i/>
          <w:iCs/>
        </w:rPr>
        <w:t>CellGroupConfig</w:t>
      </w:r>
      <w:r>
        <w:t xml:space="preserve"> (which is wholly generated by DU) in RRC. </w:t>
      </w:r>
      <w:r w:rsidR="00E01821">
        <w:t>The fundamental Rel-15 assumption was that the communication between two different DUs always happens via CU</w:t>
      </w:r>
      <w:r w:rsidR="0040290D">
        <w:t xml:space="preserve"> (using the F1AP interface)</w:t>
      </w:r>
      <w:r w:rsidR="00E01821">
        <w:t xml:space="preserve">, and this </w:t>
      </w:r>
      <w:r w:rsidR="0040290D">
        <w:t>must be the same assumption also in this case.</w:t>
      </w:r>
      <w:r w:rsidR="00E01821">
        <w:t xml:space="preserve"> </w:t>
      </w:r>
      <w:r w:rsidR="0040290D">
        <w:t>There are obvious benefits to utilizing only one DU, as e.g. data forwarding can be handled more easily and F1AP communication can be minimized.</w:t>
      </w:r>
      <w:r w:rsidR="00164616">
        <w:t>I</w:t>
      </w:r>
      <w:r>
        <w:t xml:space="preserve">t is </w:t>
      </w:r>
      <w:r w:rsidR="00164616">
        <w:t xml:space="preserve">also </w:t>
      </w:r>
      <w:r>
        <w:t>obvious that restricting the functionality to be only within the same DU</w:t>
      </w:r>
      <w:r w:rsidR="00164616">
        <w:t xml:space="preserve"> will </w:t>
      </w:r>
      <w:r>
        <w:t xml:space="preserve">also substantially reduce the complexity of the Rel-17 work (for example, the non-serving cell configuration could be wholly provided within the same </w:t>
      </w:r>
      <w:r w:rsidRPr="003042F9">
        <w:rPr>
          <w:i/>
          <w:iCs/>
        </w:rPr>
        <w:t>CellGroupConfig</w:t>
      </w:r>
      <w:r>
        <w:t xml:space="preserve"> and there would be no need for DU-to-CU-to-DU signalling, which might require additional inter-node messages</w:t>
      </w:r>
      <w:r w:rsidR="00164616">
        <w:t xml:space="preserve"> passed over F1</w:t>
      </w:r>
      <w:r w:rsidR="000B0231">
        <w:t>AP interface</w:t>
      </w:r>
      <w:r>
        <w:t xml:space="preserve">). </w:t>
      </w:r>
      <w:r w:rsidR="009A7BBA">
        <w:t xml:space="preserve">It should also be noted that there has been a substantial number of </w:t>
      </w:r>
      <w:r>
        <w:t>Rel-15  corrections to inter-node messages</w:t>
      </w:r>
      <w:r w:rsidR="009A7BBA">
        <w:t>, which</w:t>
      </w:r>
      <w:r>
        <w:t xml:space="preserve"> have required a </w:t>
      </w:r>
      <w:r w:rsidR="009A7BBA">
        <w:t xml:space="preserve">significant </w:t>
      </w:r>
      <w:r>
        <w:t xml:space="preserve">amount of RAN2 meeting time so it's essential to keep the </w:t>
      </w:r>
      <w:r w:rsidR="005D7453">
        <w:t>complexity</w:t>
      </w:r>
      <w:r>
        <w:t xml:space="preserve"> manageable and ensure inter-operability. </w:t>
      </w:r>
      <w:r w:rsidR="00F96DBF">
        <w:t xml:space="preserve">Hence, we conclude that limiting to only intra-DU </w:t>
      </w:r>
      <w:r>
        <w:t xml:space="preserve">doesn't restrict the use cases </w:t>
      </w:r>
      <w:r w:rsidR="00F96DBF">
        <w:t xml:space="preserve">significantly </w:t>
      </w:r>
      <w:r w:rsidR="0084676A">
        <w:t>compared to its benefits.</w:t>
      </w:r>
      <w:r>
        <w:t>.</w:t>
      </w:r>
    </w:p>
    <w:p w14:paraId="00AC949A" w14:textId="32A8C136" w:rsidR="007E03E7" w:rsidRDefault="0084676A" w:rsidP="007A2E55">
      <w:r>
        <w:rPr>
          <w:b/>
          <w:bCs/>
        </w:rPr>
        <w:lastRenderedPageBreak/>
        <w:t>Observation 1</w:t>
      </w:r>
      <w:r w:rsidR="007C3B0D">
        <w:rPr>
          <w:b/>
          <w:bCs/>
        </w:rPr>
        <w:t>1</w:t>
      </w:r>
      <w:r>
        <w:rPr>
          <w:b/>
          <w:bCs/>
        </w:rPr>
        <w:t xml:space="preserve">: </w:t>
      </w:r>
      <w:r w:rsidR="007E03E7">
        <w:t>From RAN2 perspective, limiting the L1/L2-centric mobility to intra-DU operation minimizes specification impacts and inter-operability issues without loss to use cases.</w:t>
      </w:r>
    </w:p>
    <w:p w14:paraId="0FA425A7" w14:textId="449CA4F0" w:rsidR="00623447" w:rsidRDefault="0084676A" w:rsidP="007A2E55">
      <w:r w:rsidRPr="003042F9">
        <w:rPr>
          <w:b/>
          <w:bCs/>
        </w:rPr>
        <w:t xml:space="preserve">Proposal </w:t>
      </w:r>
      <w:r>
        <w:rPr>
          <w:b/>
          <w:bCs/>
        </w:rPr>
        <w:t>7</w:t>
      </w:r>
      <w:r w:rsidRPr="003042F9">
        <w:rPr>
          <w:b/>
          <w:bCs/>
        </w:rPr>
        <w:t>:</w:t>
      </w:r>
      <w:r>
        <w:t xml:space="preserve"> Indicate to RAN1 that RAN2 prefers to only consider intra-DU operation for L1/L2-centric mobility in Rel-17</w:t>
      </w:r>
      <w:r w:rsidR="00623447">
        <w:t xml:space="preserve"> but RAN</w:t>
      </w:r>
      <w:r w:rsidR="006C5B25">
        <w:t>3 views should be taken into account as well</w:t>
      </w:r>
      <w:r>
        <w:t>.</w:t>
      </w:r>
    </w:p>
    <w:p w14:paraId="45F7E7B5" w14:textId="541D3040" w:rsidR="009F4F40" w:rsidRPr="006E13D1" w:rsidRDefault="009F4F40" w:rsidP="009F4F40">
      <w:pPr>
        <w:pStyle w:val="Heading2"/>
      </w:pPr>
      <w:r>
        <w:t>2</w:t>
      </w:r>
      <w:r w:rsidRPr="006E13D1">
        <w:t>.</w:t>
      </w:r>
      <w:r>
        <w:t>4</w:t>
      </w:r>
      <w:r w:rsidRPr="006E13D1">
        <w:tab/>
      </w:r>
      <w:r>
        <w:t>CA and RF impacts</w:t>
      </w:r>
      <w:r w:rsidRPr="009F4F40">
        <w:t xml:space="preserve"> </w:t>
      </w:r>
      <w:r>
        <w:t>of L1/L2 mobility</w:t>
      </w:r>
    </w:p>
    <w:p w14:paraId="6B7A1802" w14:textId="0F090CF6" w:rsidR="009F4F40" w:rsidRDefault="007F07DA" w:rsidP="007A2E55">
      <w:r>
        <w:t xml:space="preserve">Finally, the questions 5 and 6 in the RAN1 LS </w:t>
      </w:r>
      <w:hyperlink r:id="rId27" w:history="1">
        <w:r w:rsidRPr="00B952C2">
          <w:rPr>
            <w:rStyle w:val="Hyperlink"/>
            <w:rFonts w:cs="Arial"/>
          </w:rPr>
          <w:t>R1-2102248</w:t>
        </w:r>
      </w:hyperlink>
      <w:r>
        <w:t xml:space="preserve"> concern the </w:t>
      </w:r>
      <w:r w:rsidRPr="007F07DA">
        <w:rPr>
          <w:highlight w:val="green"/>
        </w:rPr>
        <w:t>RF</w:t>
      </w:r>
      <w:r>
        <w:t>/</w:t>
      </w:r>
      <w:r w:rsidRPr="007F07DA">
        <w:rPr>
          <w:highlight w:val="lightGray"/>
        </w:rPr>
        <w:t>RRM</w:t>
      </w:r>
      <w:r>
        <w:t xml:space="preserve"> impacts of using both the </w:t>
      </w:r>
      <w:r w:rsidRPr="00A5127C">
        <w:rPr>
          <w:highlight w:val="yellow"/>
        </w:rPr>
        <w:t>serving cell</w:t>
      </w:r>
      <w:r>
        <w:t xml:space="preserve"> and the </w:t>
      </w:r>
      <w:r w:rsidRPr="00A5127C">
        <w:rPr>
          <w:highlight w:val="cyan"/>
        </w:rPr>
        <w:t>non-serving cell</w:t>
      </w:r>
      <w:r>
        <w:t xml:space="preserve">. From RAN2 perspective, these would impact both the procedures as well as </w:t>
      </w:r>
      <w:r w:rsidRPr="007F07DA">
        <w:rPr>
          <w:highlight w:val="magenta"/>
        </w:rPr>
        <w:t>UE capabilities</w:t>
      </w:r>
      <w:r>
        <w:t xml:space="preserve">. The highlights below illustrate one possible way to separate the questions related to </w:t>
      </w:r>
      <w:r w:rsidR="006C5B25">
        <w:t xml:space="preserve">serving and non-serving </w:t>
      </w:r>
      <w:r>
        <w:t>cell</w:t>
      </w:r>
      <w:r w:rsidR="006C5B25">
        <w:t>s</w:t>
      </w:r>
      <w:r>
        <w:t>.</w:t>
      </w:r>
    </w:p>
    <w:tbl>
      <w:tblPr>
        <w:tblStyle w:val="TableGrid"/>
        <w:tblW w:w="0" w:type="auto"/>
        <w:tblLook w:val="04A0" w:firstRow="1" w:lastRow="0" w:firstColumn="1" w:lastColumn="0" w:noHBand="0" w:noVBand="1"/>
      </w:tblPr>
      <w:tblGrid>
        <w:gridCol w:w="9631"/>
      </w:tblGrid>
      <w:tr w:rsidR="009F4F40" w14:paraId="1B2BE4E9" w14:textId="77777777" w:rsidTr="1B3C041B">
        <w:tc>
          <w:tcPr>
            <w:tcW w:w="9631" w:type="dxa"/>
          </w:tcPr>
          <w:p w14:paraId="4C579F2D" w14:textId="50093D91" w:rsidR="009F4F40" w:rsidRDefault="009F4F40" w:rsidP="003107F4">
            <w:pPr>
              <w:snapToGrid w:val="0"/>
              <w:jc w:val="both"/>
              <w:rPr>
                <w:sz w:val="22"/>
                <w:szCs w:val="22"/>
                <w:lang w:eastAsia="zh-CN"/>
              </w:rPr>
            </w:pPr>
            <w:r w:rsidRPr="1B3C041B">
              <w:rPr>
                <w:b/>
                <w:bCs/>
                <w:sz w:val="22"/>
                <w:szCs w:val="22"/>
                <w:lang w:eastAsia="zh-CN"/>
              </w:rPr>
              <w:t>Question 5</w:t>
            </w:r>
            <w:r w:rsidRPr="1B3C041B">
              <w:rPr>
                <w:sz w:val="22"/>
                <w:szCs w:val="22"/>
                <w:highlight w:val="green"/>
                <w:lang w:eastAsia="zh-CN"/>
              </w:rPr>
              <w:t xml:space="preserve">: In regard of CA issues, RAN1 is discussing whether the operation is supported only for intra-band CA scenario (i.e. UE is configured to operate with </w:t>
            </w:r>
            <w:r w:rsidRPr="1B3C041B">
              <w:rPr>
                <w:sz w:val="22"/>
                <w:szCs w:val="22"/>
                <w:highlight w:val="yellow"/>
                <w:lang w:eastAsia="zh-CN"/>
              </w:rPr>
              <w:t xml:space="preserve">serving </w:t>
            </w:r>
            <w:r w:rsidRPr="1B3C041B">
              <w:rPr>
                <w:sz w:val="22"/>
                <w:szCs w:val="22"/>
                <w:highlight w:val="green"/>
                <w:lang w:eastAsia="zh-CN"/>
              </w:rPr>
              <w:t xml:space="preserve">and </w:t>
            </w:r>
            <w:r w:rsidRPr="1B3C041B">
              <w:rPr>
                <w:sz w:val="22"/>
                <w:szCs w:val="22"/>
                <w:highlight w:val="cyan"/>
                <w:lang w:eastAsia="zh-CN"/>
              </w:rPr>
              <w:t xml:space="preserve">non-serving cells </w:t>
            </w:r>
            <w:r w:rsidRPr="1B3C041B">
              <w:rPr>
                <w:sz w:val="22"/>
                <w:szCs w:val="22"/>
                <w:highlight w:val="green"/>
                <w:lang w:eastAsia="zh-CN"/>
              </w:rPr>
              <w:t>that belong to the same frequency band) or for both intra-band CA and inter-band CA scenarios.</w:t>
            </w:r>
            <w:r w:rsidRPr="1B3C041B">
              <w:rPr>
                <w:sz w:val="22"/>
                <w:szCs w:val="22"/>
                <w:lang w:eastAsia="zh-CN"/>
              </w:rPr>
              <w:t xml:space="preserve"> </w:t>
            </w:r>
            <w:r w:rsidRPr="1B3C041B">
              <w:rPr>
                <w:sz w:val="22"/>
                <w:szCs w:val="22"/>
                <w:highlight w:val="cyan"/>
                <w:lang w:eastAsia="zh-CN"/>
              </w:rPr>
              <w:t>Note that one common TCI state ID associated with a non-serving cell, if supported, may be optionally applied for CCs in a band</w:t>
            </w:r>
            <w:r w:rsidRPr="1B3C041B">
              <w:rPr>
                <w:sz w:val="22"/>
                <w:szCs w:val="22"/>
                <w:highlight w:val="yellow"/>
                <w:lang w:eastAsia="zh-CN"/>
              </w:rPr>
              <w:t>.</w:t>
            </w:r>
          </w:p>
          <w:p w14:paraId="58826620" w14:textId="77777777" w:rsidR="009F4F40" w:rsidRPr="00E204A5" w:rsidRDefault="009F4F40" w:rsidP="003107F4">
            <w:pPr>
              <w:pStyle w:val="ListParagraph"/>
              <w:numPr>
                <w:ilvl w:val="0"/>
                <w:numId w:val="12"/>
              </w:numPr>
              <w:snapToGrid w:val="0"/>
              <w:jc w:val="both"/>
              <w:rPr>
                <w:sz w:val="22"/>
                <w:szCs w:val="22"/>
                <w:lang w:eastAsia="zh-CN"/>
              </w:rPr>
            </w:pPr>
            <w:r w:rsidRPr="007F07DA">
              <w:rPr>
                <w:sz w:val="22"/>
                <w:szCs w:val="22"/>
                <w:highlight w:val="magenta"/>
                <w:lang w:eastAsia="zh-CN"/>
              </w:rPr>
              <w:t xml:space="preserve">Are there specific </w:t>
            </w:r>
            <w:r w:rsidRPr="007F07DA">
              <w:rPr>
                <w:sz w:val="22"/>
                <w:szCs w:val="22"/>
                <w:highlight w:val="magenta"/>
                <w:lang w:val="en-US" w:eastAsia="zh-CN"/>
              </w:rPr>
              <w:t>RAN2</w:t>
            </w:r>
            <w:r w:rsidRPr="007F07DA">
              <w:rPr>
                <w:sz w:val="22"/>
                <w:szCs w:val="22"/>
                <w:highlight w:val="green"/>
                <w:lang w:val="en-US" w:eastAsia="zh-CN"/>
              </w:rPr>
              <w:t xml:space="preserve">/4 </w:t>
            </w:r>
            <w:r w:rsidRPr="007F07DA">
              <w:rPr>
                <w:sz w:val="22"/>
                <w:szCs w:val="22"/>
                <w:highlight w:val="green"/>
                <w:lang w:eastAsia="zh-CN"/>
              </w:rPr>
              <w:t>issues</w:t>
            </w:r>
            <w:r w:rsidRPr="00E204A5">
              <w:rPr>
                <w:sz w:val="22"/>
                <w:szCs w:val="22"/>
                <w:lang w:eastAsia="zh-CN"/>
              </w:rPr>
              <w:t xml:space="preserve"> </w:t>
            </w:r>
            <w:r w:rsidRPr="007F07DA">
              <w:rPr>
                <w:sz w:val="22"/>
                <w:szCs w:val="22"/>
                <w:highlight w:val="magenta"/>
                <w:lang w:eastAsia="zh-CN"/>
              </w:rPr>
              <w:t xml:space="preserve">(including </w:t>
            </w:r>
            <w:r w:rsidRPr="007F07DA">
              <w:rPr>
                <w:sz w:val="22"/>
                <w:szCs w:val="28"/>
                <w:highlight w:val="magenta"/>
                <w:lang w:eastAsia="zh-CN"/>
              </w:rPr>
              <w:t xml:space="preserve">higher-layer impact) that need to be considered </w:t>
            </w:r>
            <w:r w:rsidRPr="007F07DA">
              <w:rPr>
                <w:sz w:val="22"/>
                <w:szCs w:val="28"/>
                <w:highlight w:val="magenta"/>
                <w:lang w:val="en-US" w:eastAsia="zh-CN"/>
              </w:rPr>
              <w:t>for deciding  between the two alternatives</w:t>
            </w:r>
            <w:r w:rsidRPr="007F07DA">
              <w:rPr>
                <w:sz w:val="22"/>
                <w:szCs w:val="28"/>
                <w:highlight w:val="magenta"/>
                <w:lang w:eastAsia="zh-CN"/>
              </w:rPr>
              <w:t>?</w:t>
            </w:r>
            <w:r w:rsidRPr="00E204A5">
              <w:rPr>
                <w:sz w:val="22"/>
                <w:szCs w:val="28"/>
                <w:lang w:eastAsia="zh-CN"/>
              </w:rPr>
              <w:t xml:space="preserve"> </w:t>
            </w:r>
          </w:p>
          <w:p w14:paraId="1D94BF3B" w14:textId="77777777" w:rsidR="009F4F40" w:rsidRDefault="009F4F40" w:rsidP="003107F4">
            <w:pPr>
              <w:snapToGrid w:val="0"/>
              <w:jc w:val="both"/>
              <w:rPr>
                <w:sz w:val="22"/>
                <w:szCs w:val="22"/>
                <w:lang w:eastAsia="zh-CN"/>
              </w:rPr>
            </w:pPr>
          </w:p>
          <w:p w14:paraId="6E78F998" w14:textId="77777777" w:rsidR="009F4F40" w:rsidRDefault="009F4F40" w:rsidP="003107F4">
            <w:pPr>
              <w:snapToGrid w:val="0"/>
              <w:jc w:val="both"/>
              <w:rPr>
                <w:sz w:val="22"/>
                <w:szCs w:val="28"/>
                <w:lang w:eastAsia="zh-CN"/>
              </w:rPr>
            </w:pPr>
            <w:r>
              <w:rPr>
                <w:b/>
                <w:bCs/>
                <w:sz w:val="22"/>
                <w:szCs w:val="22"/>
                <w:lang w:eastAsia="zh-CN"/>
              </w:rPr>
              <w:t>Question 6</w:t>
            </w:r>
            <w:r w:rsidRPr="00983833">
              <w:rPr>
                <w:sz w:val="22"/>
                <w:szCs w:val="22"/>
                <w:lang w:eastAsia="zh-CN"/>
              </w:rPr>
              <w:t>:</w:t>
            </w:r>
            <w:r>
              <w:rPr>
                <w:sz w:val="22"/>
                <w:szCs w:val="22"/>
                <w:lang w:eastAsia="zh-CN"/>
              </w:rPr>
              <w:t xml:space="preserve"> </w:t>
            </w:r>
            <w:r w:rsidRPr="007F07DA">
              <w:rPr>
                <w:sz w:val="22"/>
                <w:szCs w:val="22"/>
                <w:highlight w:val="lightGray"/>
                <w:lang w:eastAsia="zh-CN"/>
              </w:rPr>
              <w:t xml:space="preserve">In regard of inter-frequency issues, from RAN2/4 perspective, what would be the </w:t>
            </w:r>
            <w:r w:rsidRPr="007F07DA">
              <w:rPr>
                <w:sz w:val="22"/>
                <w:szCs w:val="28"/>
                <w:highlight w:val="lightGray"/>
                <w:lang w:eastAsia="zh-CN"/>
              </w:rPr>
              <w:t xml:space="preserve">higher-layer and RRM impact assuming inter-frequency </w:t>
            </w:r>
            <w:r w:rsidRPr="007F07DA">
              <w:rPr>
                <w:sz w:val="22"/>
                <w:szCs w:val="22"/>
                <w:highlight w:val="lightGray"/>
                <w:lang w:eastAsia="zh-CN"/>
              </w:rPr>
              <w:t xml:space="preserve">scenarios </w:t>
            </w:r>
            <w:r w:rsidRPr="007F07DA">
              <w:rPr>
                <w:sz w:val="22"/>
                <w:szCs w:val="28"/>
                <w:highlight w:val="lightGray"/>
                <w:lang w:eastAsia="zh-CN"/>
              </w:rPr>
              <w:t>as opposed to intra-frequency scenarios?</w:t>
            </w:r>
            <w:r w:rsidRPr="00F91F8C">
              <w:rPr>
                <w:sz w:val="22"/>
                <w:szCs w:val="28"/>
                <w:lang w:eastAsia="zh-CN"/>
              </w:rPr>
              <w:t xml:space="preserve"> </w:t>
            </w:r>
            <w:r w:rsidRPr="007F07DA">
              <w:rPr>
                <w:sz w:val="22"/>
                <w:szCs w:val="28"/>
                <w:highlight w:val="green"/>
                <w:lang w:eastAsia="zh-CN"/>
              </w:rPr>
              <w:t>For intra-frequency scenario, it is assumed that SSBs of non-serving cells have the same center frequency and SCS as the SSBs of the serving cell.</w:t>
            </w:r>
          </w:p>
          <w:p w14:paraId="320C4125" w14:textId="77777777" w:rsidR="009F4F40" w:rsidRPr="009F4F40" w:rsidRDefault="009F4F40" w:rsidP="003107F4">
            <w:pPr>
              <w:pStyle w:val="ListParagraph"/>
              <w:numPr>
                <w:ilvl w:val="0"/>
                <w:numId w:val="11"/>
              </w:numPr>
              <w:snapToGrid w:val="0"/>
              <w:jc w:val="both"/>
              <w:rPr>
                <w:sz w:val="22"/>
                <w:szCs w:val="28"/>
                <w:lang w:eastAsia="zh-CN"/>
              </w:rPr>
            </w:pPr>
            <w:r w:rsidRPr="007F07DA">
              <w:rPr>
                <w:sz w:val="22"/>
                <w:szCs w:val="28"/>
                <w:highlight w:val="green"/>
                <w:lang w:val="en-US" w:eastAsia="zh-CN"/>
              </w:rPr>
              <w:t xml:space="preserve">Note: </w:t>
            </w:r>
            <w:r w:rsidRPr="007F07DA">
              <w:rPr>
                <w:sz w:val="22"/>
                <w:szCs w:val="22"/>
                <w:highlight w:val="green"/>
              </w:rPr>
              <w:t xml:space="preserve">RAN1 has agreed to support intra-frequency scenarios, whereas </w:t>
            </w:r>
            <w:r w:rsidRPr="007F07DA">
              <w:rPr>
                <w:sz w:val="22"/>
                <w:szCs w:val="22"/>
                <w:highlight w:val="green"/>
                <w:lang w:val="en-US"/>
              </w:rPr>
              <w:t xml:space="preserve">the support for </w:t>
            </w:r>
            <w:r w:rsidRPr="007F07DA">
              <w:rPr>
                <w:sz w:val="22"/>
                <w:szCs w:val="22"/>
                <w:highlight w:val="green"/>
              </w:rPr>
              <w:t xml:space="preserve">inter-frequency scenarios </w:t>
            </w:r>
            <w:r w:rsidRPr="007F07DA">
              <w:rPr>
                <w:sz w:val="22"/>
                <w:szCs w:val="22"/>
                <w:highlight w:val="green"/>
                <w:lang w:val="en-US"/>
              </w:rPr>
              <w:t>is still for further study.</w:t>
            </w:r>
          </w:p>
        </w:tc>
      </w:tr>
    </w:tbl>
    <w:p w14:paraId="7D90CD75" w14:textId="0AEF9784" w:rsidR="009F4F40" w:rsidRDefault="009F4F40" w:rsidP="007A2E55"/>
    <w:p w14:paraId="24946B69" w14:textId="486801EC" w:rsidR="0019057F" w:rsidRDefault="0019057F" w:rsidP="007A2E55">
      <w:r>
        <w:t xml:space="preserve">The first thing to note on these questions is that it's not entirely clear what RAN1 aim is: the final note indicates that at least intra-frequency scenarios (i.e. serving and non-serving cells share the same SSB frequency) are to be </w:t>
      </w:r>
      <w:r w:rsidR="00281739">
        <w:t>supported</w:t>
      </w:r>
      <w:r>
        <w:t>, but (obviously) any CA scenarios are always inter-frequency cases (i.e. serving and non-serving cells have different SSB frequency). There are also obvious RF impacts from both intra- vs. inter-frequency and intra- vs. inter-band CA operation.</w:t>
      </w:r>
      <w:r w:rsidR="006E1D11">
        <w:t xml:space="preserve"> And while past experience in mobility discussions (cv. e.g. Rel-16 DAPS discussions) has taught RAN2 that intra-frequency discussions are the most difficult ones, they are also the most useful ones in practice as ~90% of handovers are for intra-frequency cases. Hence, it seems reasonable to only consider intra-frequency scenarios in Rel-17 work, as that will also limit the impacts to UE capabilities and RF aspects the most.</w:t>
      </w:r>
      <w:r w:rsidR="006C5B25">
        <w:t xml:space="preserve"> But as this depends on a lot on RAN4 assumptions, we would conclude that RAN4 input is needed on this. From RAN2 perspective, there would be at least impacts on UE capabilities, likely similar to Rel-16 DAPS operation</w:t>
      </w:r>
      <w:r w:rsidR="00311976">
        <w:t>.</w:t>
      </w:r>
      <w:r w:rsidR="0046750A">
        <w:t xml:space="preserve"> However, it's clear that </w:t>
      </w:r>
      <w:r w:rsidR="0023483A">
        <w:t>what the impacts are will depend on the deployment scenarios where the feature aims to work.</w:t>
      </w:r>
    </w:p>
    <w:p w14:paraId="1D923402" w14:textId="591EA7D4" w:rsidR="006E1D11" w:rsidRDefault="006E1D11" w:rsidP="007A2E55">
      <w:r w:rsidRPr="006E1D11">
        <w:rPr>
          <w:b/>
          <w:bCs/>
        </w:rPr>
        <w:t xml:space="preserve">Observation </w:t>
      </w:r>
      <w:r w:rsidR="00D26CD0">
        <w:rPr>
          <w:b/>
          <w:bCs/>
        </w:rPr>
        <w:t>1</w:t>
      </w:r>
      <w:r w:rsidR="007C3B0D">
        <w:rPr>
          <w:b/>
          <w:bCs/>
        </w:rPr>
        <w:t>2</w:t>
      </w:r>
      <w:r w:rsidRPr="006E1D11">
        <w:rPr>
          <w:b/>
          <w:bCs/>
        </w:rPr>
        <w:t>:</w:t>
      </w:r>
      <w:r>
        <w:t xml:space="preserve"> Intra-frequency operation is the most important use case for any mobility procedure.</w:t>
      </w:r>
    </w:p>
    <w:p w14:paraId="32A93971" w14:textId="4FE50931" w:rsidR="006E1D11" w:rsidRDefault="006E1D11" w:rsidP="007A2E55">
      <w:r w:rsidRPr="006E1D11">
        <w:rPr>
          <w:b/>
          <w:bCs/>
        </w:rPr>
        <w:t xml:space="preserve">Proposal </w:t>
      </w:r>
      <w:r w:rsidR="006C5B25">
        <w:rPr>
          <w:b/>
          <w:bCs/>
        </w:rPr>
        <w:t>8</w:t>
      </w:r>
      <w:r w:rsidRPr="006E1D11">
        <w:rPr>
          <w:b/>
          <w:bCs/>
        </w:rPr>
        <w:t>:</w:t>
      </w:r>
      <w:r>
        <w:t xml:space="preserve"> </w:t>
      </w:r>
      <w:r w:rsidR="006C5B25">
        <w:t xml:space="preserve">Assuming RAN4 finds it feasible, </w:t>
      </w:r>
      <w:r>
        <w:t xml:space="preserve">L1/L2-centric mobility should consider </w:t>
      </w:r>
      <w:r w:rsidR="00311976">
        <w:t xml:space="preserve">at least </w:t>
      </w:r>
      <w:r>
        <w:t xml:space="preserve">intra-frequency operation in Rel-17. </w:t>
      </w:r>
    </w:p>
    <w:p w14:paraId="3F0F3206" w14:textId="1D378EFC" w:rsidR="0046750A" w:rsidRDefault="0046750A" w:rsidP="007A2E55">
      <w:r w:rsidRPr="003042F9">
        <w:rPr>
          <w:b/>
          <w:bCs/>
        </w:rPr>
        <w:t>Proposal 9:</w:t>
      </w:r>
      <w:r>
        <w:t xml:space="preserve"> </w:t>
      </w:r>
      <w:r w:rsidR="0023483A">
        <w:t xml:space="preserve">Request RAN1 feedback on the </w:t>
      </w:r>
      <w:r w:rsidR="000306CA">
        <w:t>scenarios where the L1/L2-centric mobility is assumed to be used.</w:t>
      </w:r>
    </w:p>
    <w:p w14:paraId="23398E50" w14:textId="1F0C08D4" w:rsidR="009F4F40" w:rsidRPr="006E13D1" w:rsidRDefault="009F4F40" w:rsidP="009F4F40">
      <w:pPr>
        <w:pStyle w:val="Heading1"/>
      </w:pPr>
      <w:r>
        <w:t>3</w:t>
      </w:r>
      <w:r w:rsidRPr="006E13D1">
        <w:tab/>
      </w:r>
      <w:r>
        <w:t>Reply LS to RAN1</w:t>
      </w:r>
    </w:p>
    <w:p w14:paraId="766B36FD" w14:textId="77ADEF51" w:rsidR="009F4F40" w:rsidRDefault="00C51328" w:rsidP="009F4F40">
      <w:r>
        <w:t>Based on the discussion in earlier chapter, we</w:t>
      </w:r>
      <w:r w:rsidR="00175D6E">
        <w:t xml:space="preserve"> have provided a draft LS reply to </w:t>
      </w:r>
      <w:r>
        <w:t xml:space="preserve">RAN1 </w:t>
      </w:r>
      <w:r w:rsidR="00175D6E">
        <w:t xml:space="preserve">in </w:t>
      </w:r>
      <w:hyperlink r:id="rId28" w:history="1">
        <w:r w:rsidR="00A3703F" w:rsidRPr="00A3703F">
          <w:rPr>
            <w:rStyle w:val="Hyperlink"/>
          </w:rPr>
          <w:t>R2-2103673</w:t>
        </w:r>
      </w:hyperlink>
      <w:r w:rsidR="00A3703F">
        <w:t>.</w:t>
      </w:r>
    </w:p>
    <w:p w14:paraId="320920BC" w14:textId="604E524D" w:rsidR="009F4F40" w:rsidRPr="006E13D1" w:rsidRDefault="009F4F40" w:rsidP="00A209D6">
      <w:r>
        <w:rPr>
          <w:b/>
        </w:rPr>
        <w:t>Proposal</w:t>
      </w:r>
      <w:r w:rsidRPr="00B84DB2">
        <w:rPr>
          <w:b/>
        </w:rPr>
        <w:t xml:space="preserve"> </w:t>
      </w:r>
      <w:r w:rsidR="00A3703F">
        <w:rPr>
          <w:b/>
        </w:rPr>
        <w:t>10</w:t>
      </w:r>
      <w:r w:rsidRPr="007A2E55">
        <w:rPr>
          <w:bCs/>
        </w:rPr>
        <w:t>:</w:t>
      </w:r>
      <w:r>
        <w:t xml:space="preserve"> Discuss and agree to reply LS based on </w:t>
      </w:r>
      <w:r w:rsidR="00EB252B">
        <w:t xml:space="preserve">the </w:t>
      </w:r>
      <w:r>
        <w:t>formulation</w:t>
      </w:r>
      <w:r w:rsidR="00EB252B">
        <w:t xml:space="preserve"> provided in this contribution</w:t>
      </w:r>
      <w:r w:rsidR="00A3703F">
        <w:t xml:space="preserve"> and the draft LS in </w:t>
      </w:r>
      <w:hyperlink r:id="rId29" w:history="1">
        <w:r w:rsidR="00A3703F" w:rsidRPr="00A3703F">
          <w:rPr>
            <w:rStyle w:val="Hyperlink"/>
          </w:rPr>
          <w:t>R2-2103673</w:t>
        </w:r>
      </w:hyperlink>
      <w:r w:rsidR="00EB252B">
        <w:t>.</w:t>
      </w:r>
    </w:p>
    <w:p w14:paraId="5FF2457F" w14:textId="11A84A2C" w:rsidR="00A209D6" w:rsidRPr="006E13D1" w:rsidRDefault="00A209D6" w:rsidP="00A209D6">
      <w:pPr>
        <w:pStyle w:val="Heading1"/>
      </w:pPr>
      <w:r w:rsidRPr="006E13D1">
        <w:lastRenderedPageBreak/>
        <w:t>4</w:t>
      </w:r>
      <w:r w:rsidRPr="006E13D1">
        <w:tab/>
      </w:r>
      <w:r w:rsidR="008C3057">
        <w:t>Conclusion</w:t>
      </w:r>
    </w:p>
    <w:p w14:paraId="7B7240A4" w14:textId="1408F599" w:rsidR="004F73A7" w:rsidRPr="006E13D1" w:rsidRDefault="004F73A7" w:rsidP="00A209D6">
      <w:r>
        <w:t>This documents has made</w:t>
      </w:r>
      <w:r w:rsidR="004F4540">
        <w:t xml:space="preserve"> the following observations:</w:t>
      </w:r>
    </w:p>
    <w:p w14:paraId="014D5D9F" w14:textId="77777777" w:rsidR="007C3B0D" w:rsidRDefault="007C3B0D" w:rsidP="007C3B0D">
      <w:r w:rsidRPr="00ED5033">
        <w:rPr>
          <w:b/>
          <w:bCs/>
        </w:rPr>
        <w:t>Observation 1:</w:t>
      </w:r>
      <w:r>
        <w:t xml:space="preserve"> The goal of the L1/L2-centric mobility is to improve "beam change" latency and enable "more dynamic" inter-cell mobility (i.e. avoid reconfiguration with sync).</w:t>
      </w:r>
    </w:p>
    <w:p w14:paraId="100D4B25" w14:textId="77777777" w:rsidR="007C3B0D" w:rsidRDefault="007C3B0D" w:rsidP="007C3B0D">
      <w:r w:rsidRPr="00D55B33">
        <w:rPr>
          <w:b/>
          <w:bCs/>
        </w:rPr>
        <w:t>Observation 2:</w:t>
      </w:r>
      <w:r>
        <w:t xml:space="preserve"> L1/L2-centric mobility should aim to build on top of the Rel-16 multi-TRP functionality. </w:t>
      </w:r>
    </w:p>
    <w:p w14:paraId="69088EA0" w14:textId="33612E79" w:rsidR="007C3B0D" w:rsidRPr="008C75D1" w:rsidRDefault="007C3B0D" w:rsidP="007C3B0D">
      <w:r w:rsidRPr="001515BD">
        <w:rPr>
          <w:b/>
          <w:bCs/>
        </w:rPr>
        <w:t xml:space="preserve">Observation </w:t>
      </w:r>
      <w:r>
        <w:rPr>
          <w:b/>
          <w:bCs/>
        </w:rPr>
        <w:t>3</w:t>
      </w:r>
      <w:r w:rsidRPr="001515BD">
        <w:rPr>
          <w:b/>
          <w:bCs/>
        </w:rPr>
        <w:t>:</w:t>
      </w:r>
      <w:r>
        <w:t xml:space="preserve"> Whether the cell-specific configuration (i.e. information within IE </w:t>
      </w:r>
      <w:r w:rsidRPr="00DE6DA9">
        <w:rPr>
          <w:i/>
          <w:iCs/>
        </w:rPr>
        <w:t>ServingCellConfigCommon</w:t>
      </w:r>
      <w:r>
        <w:t xml:space="preserve"> or IE </w:t>
      </w:r>
      <w:r w:rsidRPr="00DE6DA9">
        <w:rPr>
          <w:i/>
          <w:iCs/>
        </w:rPr>
        <w:t>ServingCellConfigCommonSIB</w:t>
      </w:r>
      <w:r>
        <w:t>) for the non-serving cell can be the same as for the serving cell requires further discussion.</w:t>
      </w:r>
    </w:p>
    <w:p w14:paraId="4EF25954" w14:textId="77777777" w:rsidR="003042F9" w:rsidRDefault="003042F9" w:rsidP="003042F9">
      <w:r w:rsidRPr="001515BD">
        <w:rPr>
          <w:b/>
          <w:bCs/>
        </w:rPr>
        <w:t xml:space="preserve">Observation </w:t>
      </w:r>
      <w:r>
        <w:rPr>
          <w:b/>
          <w:bCs/>
        </w:rPr>
        <w:t>4</w:t>
      </w:r>
      <w:r w:rsidRPr="001515BD">
        <w:rPr>
          <w:b/>
          <w:bCs/>
        </w:rPr>
        <w:t>:</w:t>
      </w:r>
      <w:r>
        <w:t xml:space="preserve"> At least </w:t>
      </w:r>
      <w:r w:rsidRPr="001515BD">
        <w:rPr>
          <w:i/>
          <w:iCs/>
        </w:rPr>
        <w:t>ServingCellConfig</w:t>
      </w:r>
      <w:r>
        <w:t xml:space="preserve"> needs to be provided for any non-serving cell so UE is able to use physical channels of the non-serving cell.</w:t>
      </w:r>
    </w:p>
    <w:p w14:paraId="1491B3DA" w14:textId="77777777" w:rsidR="007C3B0D" w:rsidRDefault="007C3B0D" w:rsidP="007C3B0D">
      <w:r w:rsidRPr="007F07DA">
        <w:rPr>
          <w:b/>
          <w:bCs/>
        </w:rPr>
        <w:t xml:space="preserve">Observation </w:t>
      </w:r>
      <w:r>
        <w:rPr>
          <w:b/>
          <w:bCs/>
        </w:rPr>
        <w:t>5</w:t>
      </w:r>
      <w:r w:rsidRPr="007F07DA">
        <w:rPr>
          <w:b/>
          <w:bCs/>
        </w:rPr>
        <w:t>:</w:t>
      </w:r>
      <w:r>
        <w:t xml:space="preserve"> Configuration of non-serving cells should be done via RRC.</w:t>
      </w:r>
    </w:p>
    <w:p w14:paraId="1E745C8C" w14:textId="77777777" w:rsidR="003042F9" w:rsidRDefault="003042F9" w:rsidP="003042F9">
      <w:r w:rsidRPr="007F07DA">
        <w:rPr>
          <w:b/>
          <w:bCs/>
        </w:rPr>
        <w:t xml:space="preserve">Observation </w:t>
      </w:r>
      <w:r>
        <w:rPr>
          <w:b/>
          <w:bCs/>
        </w:rPr>
        <w:t>6</w:t>
      </w:r>
      <w:r w:rsidRPr="007F07DA">
        <w:rPr>
          <w:b/>
          <w:bCs/>
        </w:rPr>
        <w:t>:</w:t>
      </w:r>
      <w:r>
        <w:t xml:space="preserve"> Changing which physical channel is used by UE at a given time could be possible to do via L1 or MAC signalling (similar to BWP switch or TCI state change).</w:t>
      </w:r>
    </w:p>
    <w:p w14:paraId="7AAC6E75" w14:textId="77777777" w:rsidR="007C3B0D" w:rsidRPr="006E13D1" w:rsidRDefault="007C3B0D" w:rsidP="007C3B0D">
      <w:pPr>
        <w:pStyle w:val="B1"/>
        <w:ind w:left="0" w:firstLine="0"/>
      </w:pPr>
      <w:r w:rsidRPr="00835D18">
        <w:rPr>
          <w:b/>
          <w:bCs/>
        </w:rPr>
        <w:t xml:space="preserve">Observation </w:t>
      </w:r>
      <w:r>
        <w:rPr>
          <w:b/>
          <w:bCs/>
        </w:rPr>
        <w:t>7</w:t>
      </w:r>
      <w:r w:rsidRPr="00835D18">
        <w:rPr>
          <w:b/>
          <w:bCs/>
        </w:rPr>
        <w:t>:</w:t>
      </w:r>
      <w:r>
        <w:t xml:space="preserve"> It is still unclear what the (unintended) consequences of introducing L1/L2-centric mobility would be to NR system operation.</w:t>
      </w:r>
    </w:p>
    <w:p w14:paraId="44166767" w14:textId="77777777" w:rsidR="007C3B0D" w:rsidRDefault="007C3B0D" w:rsidP="007C3B0D">
      <w:r>
        <w:rPr>
          <w:b/>
          <w:bCs/>
        </w:rPr>
        <w:t>Observation 8</w:t>
      </w:r>
      <w:r w:rsidRPr="00835D18">
        <w:rPr>
          <w:b/>
          <w:bCs/>
        </w:rPr>
        <w:t>:</w:t>
      </w:r>
      <w:r>
        <w:t xml:space="preserve"> RAN2 should not speculate on whether L1/L2-centric mobility is "needed" and only focus on the consequences that introduction of the mechanism would create. </w:t>
      </w:r>
    </w:p>
    <w:p w14:paraId="7C6F6D9F" w14:textId="77777777" w:rsidR="008D451C" w:rsidRDefault="008D451C" w:rsidP="008D451C">
      <w:r w:rsidRPr="003107F4">
        <w:rPr>
          <w:b/>
          <w:bCs/>
        </w:rPr>
        <w:t xml:space="preserve">Observation </w:t>
      </w:r>
      <w:r>
        <w:rPr>
          <w:b/>
          <w:bCs/>
        </w:rPr>
        <w:t>9</w:t>
      </w:r>
      <w:r w:rsidRPr="003107F4">
        <w:rPr>
          <w:b/>
          <w:bCs/>
        </w:rPr>
        <w:t>:</w:t>
      </w:r>
      <w:r>
        <w:t xml:space="preserve"> RAN2 normally assumes that each cell assigns their own C-RNTIs.</w:t>
      </w:r>
    </w:p>
    <w:p w14:paraId="27914853" w14:textId="5E77AA27" w:rsidR="007C3B0D" w:rsidRDefault="007C3B0D" w:rsidP="007C3B0D">
      <w:r w:rsidRPr="007E03E7">
        <w:rPr>
          <w:b/>
          <w:bCs/>
        </w:rPr>
        <w:t xml:space="preserve">Observation </w:t>
      </w:r>
      <w:r>
        <w:rPr>
          <w:b/>
          <w:bCs/>
        </w:rPr>
        <w:t>10</w:t>
      </w:r>
      <w:r w:rsidRPr="007E03E7">
        <w:rPr>
          <w:b/>
          <w:bCs/>
        </w:rPr>
        <w:t>:</w:t>
      </w:r>
      <w:r>
        <w:t xml:space="preserve"> Providing C-RNTI via RRC configuration seems like a reasonable baseline assumption.</w:t>
      </w:r>
    </w:p>
    <w:p w14:paraId="39EE8E72" w14:textId="1401C826" w:rsidR="007C3B0D" w:rsidRDefault="007C3B0D" w:rsidP="007C3B0D">
      <w:r>
        <w:rPr>
          <w:b/>
          <w:bCs/>
        </w:rPr>
        <w:t xml:space="preserve">Observation 11: </w:t>
      </w:r>
      <w:r>
        <w:t>From RAN2 perspective, limiting the L1/L2-centric mobility to intra-DU operation minimizes specification impacts and inter-operability issues without loss to use cases.</w:t>
      </w:r>
    </w:p>
    <w:p w14:paraId="720A1200" w14:textId="6ADDA8CC" w:rsidR="007C3B0D" w:rsidRDefault="007C3B0D" w:rsidP="007C3B0D">
      <w:r w:rsidRPr="006E1D11">
        <w:rPr>
          <w:b/>
          <w:bCs/>
        </w:rPr>
        <w:t xml:space="preserve">Observation </w:t>
      </w:r>
      <w:r>
        <w:rPr>
          <w:b/>
          <w:bCs/>
        </w:rPr>
        <w:t>12</w:t>
      </w:r>
      <w:r w:rsidRPr="006E1D11">
        <w:rPr>
          <w:b/>
          <w:bCs/>
        </w:rPr>
        <w:t>:</w:t>
      </w:r>
      <w:r>
        <w:t xml:space="preserve"> Intra-frequency operation is the most important use case for any mobility procedure.</w:t>
      </w:r>
    </w:p>
    <w:p w14:paraId="455F9842" w14:textId="3BA2EC37" w:rsidR="004F4540" w:rsidRPr="004F4540" w:rsidRDefault="004F4540" w:rsidP="004F73A7">
      <w:pPr>
        <w:rPr>
          <w:bCs/>
        </w:rPr>
      </w:pPr>
      <w:r>
        <w:rPr>
          <w:bCs/>
        </w:rPr>
        <w:t>And proposed the following:</w:t>
      </w:r>
    </w:p>
    <w:p w14:paraId="3EEF68DB" w14:textId="77777777" w:rsidR="007C3B0D" w:rsidRDefault="007C3B0D" w:rsidP="007C3B0D">
      <w:r w:rsidRPr="00835D18">
        <w:rPr>
          <w:b/>
          <w:bCs/>
        </w:rPr>
        <w:t>Proposal 1:</w:t>
      </w:r>
      <w:r>
        <w:t xml:space="preserve"> RAN2 aims to avoid handovers with L1/L2-centric mobility procedures. Whether this is always possible is FFS. </w:t>
      </w:r>
    </w:p>
    <w:p w14:paraId="019670A1" w14:textId="77777777" w:rsidR="007C3B0D" w:rsidRDefault="007C3B0D" w:rsidP="007C3B0D">
      <w:pPr>
        <w:pStyle w:val="B1"/>
        <w:ind w:left="0" w:firstLine="0"/>
      </w:pPr>
      <w:r w:rsidRPr="003107F4">
        <w:rPr>
          <w:b/>
          <w:bCs/>
        </w:rPr>
        <w:t>Proposal 2:</w:t>
      </w:r>
      <w:r>
        <w:t xml:space="preserve"> For non-serving cell operation, the same configuration as for serving cell is needed.</w:t>
      </w:r>
    </w:p>
    <w:p w14:paraId="036B8684" w14:textId="77777777" w:rsidR="007C3B0D" w:rsidRDefault="007C3B0D" w:rsidP="007C3B0D">
      <w:pPr>
        <w:pStyle w:val="B1"/>
        <w:ind w:left="0" w:firstLine="0"/>
      </w:pPr>
      <w:r w:rsidRPr="003107F4">
        <w:rPr>
          <w:b/>
          <w:bCs/>
        </w:rPr>
        <w:t>Proposal 3:</w:t>
      </w:r>
      <w:r>
        <w:t xml:space="preserve"> Rel-17 should not consider more than one non-serving cell, configured by RRC.</w:t>
      </w:r>
    </w:p>
    <w:p w14:paraId="4F142801" w14:textId="0306ED24" w:rsidR="007C3B0D" w:rsidRPr="003107F4" w:rsidRDefault="007C3B0D" w:rsidP="007C3B0D">
      <w:pPr>
        <w:pStyle w:val="B1"/>
        <w:ind w:left="0" w:firstLine="0"/>
      </w:pPr>
      <w:r w:rsidRPr="00D55B33">
        <w:rPr>
          <w:b/>
          <w:bCs/>
        </w:rPr>
        <w:t>Proposal 4:</w:t>
      </w:r>
      <w:r>
        <w:t xml:space="preserve"> Rel-17 should only consider RRC-based change of non-serving cell.</w:t>
      </w:r>
    </w:p>
    <w:p w14:paraId="2F9D0DD2" w14:textId="77777777" w:rsidR="007C3B0D" w:rsidRDefault="007C3B0D" w:rsidP="007C3B0D">
      <w:r w:rsidRPr="007E03E7">
        <w:rPr>
          <w:b/>
          <w:bCs/>
        </w:rPr>
        <w:t xml:space="preserve">Proposal </w:t>
      </w:r>
      <w:r>
        <w:rPr>
          <w:b/>
          <w:bCs/>
        </w:rPr>
        <w:t>5</w:t>
      </w:r>
      <w:r w:rsidRPr="007E03E7">
        <w:rPr>
          <w:b/>
          <w:bCs/>
        </w:rPr>
        <w:t>:</w:t>
      </w:r>
      <w:r>
        <w:t xml:space="preserve"> The C-RNTI used for non-serving cell may be different from serving cell C-RNTI (up to target cell to assign the used C-RNTI).</w:t>
      </w:r>
    </w:p>
    <w:p w14:paraId="589087E1" w14:textId="77777777" w:rsidR="003216AC" w:rsidRDefault="003216AC" w:rsidP="003216AC">
      <w:r w:rsidRPr="007E03E7">
        <w:rPr>
          <w:b/>
          <w:bCs/>
        </w:rPr>
        <w:t xml:space="preserve">Proposal </w:t>
      </w:r>
      <w:r>
        <w:rPr>
          <w:b/>
          <w:bCs/>
        </w:rPr>
        <w:t>6</w:t>
      </w:r>
      <w:r w:rsidRPr="007E03E7">
        <w:rPr>
          <w:b/>
          <w:bCs/>
        </w:rPr>
        <w:t>:</w:t>
      </w:r>
      <w:r>
        <w:t xml:space="preserve"> The C-RNTI for non-serving cell can be conveyed as part of the RRC configuration. </w:t>
      </w:r>
    </w:p>
    <w:p w14:paraId="17147918" w14:textId="77777777" w:rsidR="007C3B0D" w:rsidRDefault="007C3B0D" w:rsidP="007C3B0D">
      <w:r w:rsidRPr="00D55B33">
        <w:rPr>
          <w:b/>
          <w:bCs/>
        </w:rPr>
        <w:t xml:space="preserve">Proposal </w:t>
      </w:r>
      <w:r>
        <w:rPr>
          <w:b/>
          <w:bCs/>
        </w:rPr>
        <w:t>7</w:t>
      </w:r>
      <w:r w:rsidRPr="00D55B33">
        <w:rPr>
          <w:b/>
          <w:bCs/>
        </w:rPr>
        <w:t>:</w:t>
      </w:r>
      <w:r>
        <w:t xml:space="preserve"> Indicate to RAN1 that RAN2 prefers to only consider intra-DU operation for L1/L2-centric mobility in Rel-17 but RAN3 views should be taken into account as well.</w:t>
      </w:r>
    </w:p>
    <w:p w14:paraId="077642B2" w14:textId="203B23E4" w:rsidR="007C3B0D" w:rsidRDefault="007C3B0D" w:rsidP="007C3B0D">
      <w:r w:rsidRPr="006E1D11">
        <w:rPr>
          <w:b/>
          <w:bCs/>
        </w:rPr>
        <w:t xml:space="preserve">Proposal </w:t>
      </w:r>
      <w:r>
        <w:rPr>
          <w:b/>
          <w:bCs/>
        </w:rPr>
        <w:t>8</w:t>
      </w:r>
      <w:r w:rsidRPr="006E1D11">
        <w:rPr>
          <w:b/>
          <w:bCs/>
        </w:rPr>
        <w:t>:</w:t>
      </w:r>
      <w:r>
        <w:t xml:space="preserve"> Assuming RAN4 finds it feasible, L1/L2-centric mobility should consider at least intra-frequency operation in Rel-17.</w:t>
      </w:r>
    </w:p>
    <w:p w14:paraId="5EE96A3F" w14:textId="77777777" w:rsidR="007C3B0D" w:rsidRDefault="007C3B0D" w:rsidP="007C3B0D">
      <w:r w:rsidRPr="00D55B33">
        <w:rPr>
          <w:b/>
          <w:bCs/>
        </w:rPr>
        <w:t>Proposal 9:</w:t>
      </w:r>
      <w:r>
        <w:t xml:space="preserve"> Request RAN1 feedback on the scenarios where the L1/L2-centric mobility is assumed to be used.</w:t>
      </w:r>
    </w:p>
    <w:p w14:paraId="3B9DECF2" w14:textId="77777777" w:rsidR="007C3B0D" w:rsidRPr="006E13D1" w:rsidRDefault="007C3B0D" w:rsidP="007C3B0D">
      <w:r>
        <w:rPr>
          <w:b/>
        </w:rPr>
        <w:t>Proposal</w:t>
      </w:r>
      <w:r w:rsidRPr="00B84DB2">
        <w:rPr>
          <w:b/>
        </w:rPr>
        <w:t xml:space="preserve"> </w:t>
      </w:r>
      <w:r>
        <w:rPr>
          <w:b/>
        </w:rPr>
        <w:t>10</w:t>
      </w:r>
      <w:r w:rsidRPr="007A2E55">
        <w:rPr>
          <w:bCs/>
        </w:rPr>
        <w:t>:</w:t>
      </w:r>
      <w:r>
        <w:t xml:space="preserve"> Discuss and agree to reply LS based on the formulation provided in this contribution and the draft LS in </w:t>
      </w:r>
      <w:hyperlink r:id="rId30" w:history="1">
        <w:r w:rsidRPr="00A3703F">
          <w:rPr>
            <w:rStyle w:val="Hyperlink"/>
          </w:rPr>
          <w:t>R2-2103673</w:t>
        </w:r>
      </w:hyperlink>
      <w:r>
        <w:t>.</w:t>
      </w:r>
    </w:p>
    <w:sectPr w:rsidR="007C3B0D" w:rsidRPr="006E13D1" w:rsidSect="00301DEA">
      <w:footnotePr>
        <w:numRestart w:val="eachSect"/>
      </w:footnotePr>
      <w:pgSz w:w="11907" w:h="16840" w:code="9"/>
      <w:pgMar w:top="1843"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CA3EC6" w14:textId="77777777" w:rsidR="00C85ED1" w:rsidRDefault="00C85ED1">
      <w:r>
        <w:separator/>
      </w:r>
    </w:p>
  </w:endnote>
  <w:endnote w:type="continuationSeparator" w:id="0">
    <w:p w14:paraId="24110B94" w14:textId="77777777" w:rsidR="00C85ED1" w:rsidRDefault="00C85ED1">
      <w:r>
        <w:continuationSeparator/>
      </w:r>
    </w:p>
  </w:endnote>
  <w:endnote w:type="continuationNotice" w:id="1">
    <w:p w14:paraId="43C1ACFE" w14:textId="77777777" w:rsidR="00C85ED1" w:rsidRDefault="00C85E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219E3" w14:textId="77777777" w:rsidR="00C85ED1" w:rsidRDefault="00C85ED1">
      <w:r>
        <w:separator/>
      </w:r>
    </w:p>
  </w:footnote>
  <w:footnote w:type="continuationSeparator" w:id="0">
    <w:p w14:paraId="30CC17CF" w14:textId="77777777" w:rsidR="00C85ED1" w:rsidRDefault="00C85ED1">
      <w:r>
        <w:continuationSeparator/>
      </w:r>
    </w:p>
  </w:footnote>
  <w:footnote w:type="continuationNotice" w:id="1">
    <w:p w14:paraId="21999718" w14:textId="77777777" w:rsidR="00C85ED1" w:rsidRDefault="00C85E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BE2428"/>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9A24C0E"/>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E9C1140"/>
    <w:multiLevelType w:val="hybridMultilevel"/>
    <w:tmpl w:val="F684B5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9D23EE"/>
    <w:multiLevelType w:val="hybridMultilevel"/>
    <w:tmpl w:val="9CC018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AE151D"/>
    <w:multiLevelType w:val="hybridMultilevel"/>
    <w:tmpl w:val="25D0F7A4"/>
    <w:lvl w:ilvl="0" w:tplc="40090019">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66A63FD"/>
    <w:multiLevelType w:val="hybridMultilevel"/>
    <w:tmpl w:val="659233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D93868"/>
    <w:multiLevelType w:val="hybridMultilevel"/>
    <w:tmpl w:val="746824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E1A1A8F"/>
    <w:multiLevelType w:val="hybridMultilevel"/>
    <w:tmpl w:val="50D0D0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2B3F28"/>
    <w:multiLevelType w:val="hybridMultilevel"/>
    <w:tmpl w:val="BE42A03A"/>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5" w15:restartNumberingAfterBreak="0">
    <w:nsid w:val="4FDE4B16"/>
    <w:multiLevelType w:val="hybridMultilevel"/>
    <w:tmpl w:val="A0C29F7A"/>
    <w:lvl w:ilvl="0" w:tplc="04090019">
      <w:start w:val="1"/>
      <w:numFmt w:val="lowerLetter"/>
      <w:lvlText w:val="%1."/>
      <w:lvlJc w:val="left"/>
      <w:pPr>
        <w:ind w:left="180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088492E"/>
    <w:multiLevelType w:val="hybridMultilevel"/>
    <w:tmpl w:val="3B8A6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0"/>
  </w:num>
  <w:num w:numId="5">
    <w:abstractNumId w:val="9"/>
  </w:num>
  <w:num w:numId="6">
    <w:abstractNumId w:val="13"/>
  </w:num>
  <w:num w:numId="7">
    <w:abstractNumId w:val="14"/>
  </w:num>
  <w:num w:numId="8">
    <w:abstractNumId w:val="4"/>
  </w:num>
  <w:num w:numId="9">
    <w:abstractNumId w:val="11"/>
  </w:num>
  <w:num w:numId="10">
    <w:abstractNumId w:val="7"/>
  </w:num>
  <w:num w:numId="11">
    <w:abstractNumId w:val="16"/>
  </w:num>
  <w:num w:numId="12">
    <w:abstractNumId w:val="8"/>
  </w:num>
  <w:num w:numId="13">
    <w:abstractNumId w:val="1"/>
  </w:num>
  <w:num w:numId="14">
    <w:abstractNumId w:val="5"/>
  </w:num>
  <w:num w:numId="15">
    <w:abstractNumId w:val="12"/>
  </w:num>
  <w:num w:numId="16">
    <w:abstractNumId w:val="15"/>
  </w:num>
  <w:num w:numId="17">
    <w:abstractNumId w:val="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formsDesig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C9F"/>
    <w:rsid w:val="00016557"/>
    <w:rsid w:val="00023C40"/>
    <w:rsid w:val="00024579"/>
    <w:rsid w:val="00027E89"/>
    <w:rsid w:val="000306CA"/>
    <w:rsid w:val="00033397"/>
    <w:rsid w:val="00040095"/>
    <w:rsid w:val="00041997"/>
    <w:rsid w:val="00045E6E"/>
    <w:rsid w:val="0005449D"/>
    <w:rsid w:val="00073C9C"/>
    <w:rsid w:val="00080512"/>
    <w:rsid w:val="00082BA8"/>
    <w:rsid w:val="00090468"/>
    <w:rsid w:val="00094568"/>
    <w:rsid w:val="000B0231"/>
    <w:rsid w:val="000B7BCF"/>
    <w:rsid w:val="000C522B"/>
    <w:rsid w:val="000D58AB"/>
    <w:rsid w:val="001008F2"/>
    <w:rsid w:val="00112F1A"/>
    <w:rsid w:val="0011339F"/>
    <w:rsid w:val="00116F52"/>
    <w:rsid w:val="00120388"/>
    <w:rsid w:val="001431E8"/>
    <w:rsid w:val="00145075"/>
    <w:rsid w:val="001515BD"/>
    <w:rsid w:val="00154530"/>
    <w:rsid w:val="00164616"/>
    <w:rsid w:val="001648D8"/>
    <w:rsid w:val="0016512B"/>
    <w:rsid w:val="00165CC5"/>
    <w:rsid w:val="001735AA"/>
    <w:rsid w:val="001741A0"/>
    <w:rsid w:val="00175D6E"/>
    <w:rsid w:val="00175FA0"/>
    <w:rsid w:val="00177DDC"/>
    <w:rsid w:val="0019057F"/>
    <w:rsid w:val="00192DCE"/>
    <w:rsid w:val="00194CD0"/>
    <w:rsid w:val="001950D2"/>
    <w:rsid w:val="001B2830"/>
    <w:rsid w:val="001B49C9"/>
    <w:rsid w:val="001B7875"/>
    <w:rsid w:val="001C0D18"/>
    <w:rsid w:val="001C23F4"/>
    <w:rsid w:val="001C4F79"/>
    <w:rsid w:val="001F168B"/>
    <w:rsid w:val="001F7831"/>
    <w:rsid w:val="00204045"/>
    <w:rsid w:val="0020712B"/>
    <w:rsid w:val="00215C6C"/>
    <w:rsid w:val="0022606D"/>
    <w:rsid w:val="00231728"/>
    <w:rsid w:val="0023483A"/>
    <w:rsid w:val="00234A18"/>
    <w:rsid w:val="00244A05"/>
    <w:rsid w:val="002502DB"/>
    <w:rsid w:val="00250404"/>
    <w:rsid w:val="00254724"/>
    <w:rsid w:val="002610D8"/>
    <w:rsid w:val="00267F91"/>
    <w:rsid w:val="002747EC"/>
    <w:rsid w:val="00281739"/>
    <w:rsid w:val="002855BF"/>
    <w:rsid w:val="002B2C03"/>
    <w:rsid w:val="002D7FBE"/>
    <w:rsid w:val="002F005A"/>
    <w:rsid w:val="002F0D22"/>
    <w:rsid w:val="00301DEA"/>
    <w:rsid w:val="00303295"/>
    <w:rsid w:val="003042F9"/>
    <w:rsid w:val="003047A5"/>
    <w:rsid w:val="00305953"/>
    <w:rsid w:val="003107F4"/>
    <w:rsid w:val="00311976"/>
    <w:rsid w:val="00311B17"/>
    <w:rsid w:val="00315FF9"/>
    <w:rsid w:val="0031601C"/>
    <w:rsid w:val="003172DC"/>
    <w:rsid w:val="00320C74"/>
    <w:rsid w:val="003216AC"/>
    <w:rsid w:val="00325AE3"/>
    <w:rsid w:val="00326069"/>
    <w:rsid w:val="0032781F"/>
    <w:rsid w:val="00335421"/>
    <w:rsid w:val="00335CA5"/>
    <w:rsid w:val="003413F4"/>
    <w:rsid w:val="00344C91"/>
    <w:rsid w:val="0035462D"/>
    <w:rsid w:val="0036459E"/>
    <w:rsid w:val="00364B41"/>
    <w:rsid w:val="00375833"/>
    <w:rsid w:val="00376C3E"/>
    <w:rsid w:val="00383096"/>
    <w:rsid w:val="0039346C"/>
    <w:rsid w:val="003953F3"/>
    <w:rsid w:val="00395FA9"/>
    <w:rsid w:val="00396546"/>
    <w:rsid w:val="003A41EF"/>
    <w:rsid w:val="003B40AD"/>
    <w:rsid w:val="003B7317"/>
    <w:rsid w:val="003C3BBC"/>
    <w:rsid w:val="003C4E37"/>
    <w:rsid w:val="003E07E1"/>
    <w:rsid w:val="003E16BE"/>
    <w:rsid w:val="003F2975"/>
    <w:rsid w:val="003F4E28"/>
    <w:rsid w:val="004006E8"/>
    <w:rsid w:val="00401855"/>
    <w:rsid w:val="0040290D"/>
    <w:rsid w:val="004170A0"/>
    <w:rsid w:val="00423405"/>
    <w:rsid w:val="00430140"/>
    <w:rsid w:val="00437BBC"/>
    <w:rsid w:val="00442472"/>
    <w:rsid w:val="00455561"/>
    <w:rsid w:val="00464420"/>
    <w:rsid w:val="00465587"/>
    <w:rsid w:val="0046750A"/>
    <w:rsid w:val="00477455"/>
    <w:rsid w:val="00477E0F"/>
    <w:rsid w:val="004A1F7B"/>
    <w:rsid w:val="004C1953"/>
    <w:rsid w:val="004C2C59"/>
    <w:rsid w:val="004C44D2"/>
    <w:rsid w:val="004D3578"/>
    <w:rsid w:val="004D380D"/>
    <w:rsid w:val="004E213A"/>
    <w:rsid w:val="004E7940"/>
    <w:rsid w:val="004F4540"/>
    <w:rsid w:val="004F73A7"/>
    <w:rsid w:val="00503171"/>
    <w:rsid w:val="00506C28"/>
    <w:rsid w:val="00517D28"/>
    <w:rsid w:val="005322DC"/>
    <w:rsid w:val="00534DA0"/>
    <w:rsid w:val="005415A6"/>
    <w:rsid w:val="00543E6C"/>
    <w:rsid w:val="00553AF1"/>
    <w:rsid w:val="00565087"/>
    <w:rsid w:val="0056573F"/>
    <w:rsid w:val="00571279"/>
    <w:rsid w:val="005A49C6"/>
    <w:rsid w:val="005A50B6"/>
    <w:rsid w:val="005B1E54"/>
    <w:rsid w:val="005D7453"/>
    <w:rsid w:val="00611566"/>
    <w:rsid w:val="00623447"/>
    <w:rsid w:val="00636139"/>
    <w:rsid w:val="00646D99"/>
    <w:rsid w:val="00656910"/>
    <w:rsid w:val="006574C0"/>
    <w:rsid w:val="006736D9"/>
    <w:rsid w:val="00696821"/>
    <w:rsid w:val="006C5104"/>
    <w:rsid w:val="006C5B25"/>
    <w:rsid w:val="006C66D8"/>
    <w:rsid w:val="006D1E24"/>
    <w:rsid w:val="006D35DE"/>
    <w:rsid w:val="006E1417"/>
    <w:rsid w:val="006E1D11"/>
    <w:rsid w:val="006F6A2C"/>
    <w:rsid w:val="007069DC"/>
    <w:rsid w:val="00710201"/>
    <w:rsid w:val="00710B2F"/>
    <w:rsid w:val="0072073A"/>
    <w:rsid w:val="007342B5"/>
    <w:rsid w:val="00734A5B"/>
    <w:rsid w:val="00744E76"/>
    <w:rsid w:val="00757D40"/>
    <w:rsid w:val="007662B5"/>
    <w:rsid w:val="00781F0F"/>
    <w:rsid w:val="00782B66"/>
    <w:rsid w:val="0078727C"/>
    <w:rsid w:val="0079049D"/>
    <w:rsid w:val="00793DC5"/>
    <w:rsid w:val="00796823"/>
    <w:rsid w:val="007A2E55"/>
    <w:rsid w:val="007B18D8"/>
    <w:rsid w:val="007B52CE"/>
    <w:rsid w:val="007C095F"/>
    <w:rsid w:val="007C2107"/>
    <w:rsid w:val="007C2DD0"/>
    <w:rsid w:val="007C3B0D"/>
    <w:rsid w:val="007D57A5"/>
    <w:rsid w:val="007E03E7"/>
    <w:rsid w:val="007F07DA"/>
    <w:rsid w:val="007F2E08"/>
    <w:rsid w:val="008028A4"/>
    <w:rsid w:val="00812237"/>
    <w:rsid w:val="00813245"/>
    <w:rsid w:val="00835D18"/>
    <w:rsid w:val="00840DE0"/>
    <w:rsid w:val="00841480"/>
    <w:rsid w:val="0084676A"/>
    <w:rsid w:val="008607A8"/>
    <w:rsid w:val="0086354A"/>
    <w:rsid w:val="00865958"/>
    <w:rsid w:val="008667DB"/>
    <w:rsid w:val="008768CA"/>
    <w:rsid w:val="00877EF9"/>
    <w:rsid w:val="00880559"/>
    <w:rsid w:val="0088597B"/>
    <w:rsid w:val="00893A98"/>
    <w:rsid w:val="008960AC"/>
    <w:rsid w:val="008A0EBE"/>
    <w:rsid w:val="008A32A6"/>
    <w:rsid w:val="008A4B4C"/>
    <w:rsid w:val="008B3122"/>
    <w:rsid w:val="008B5306"/>
    <w:rsid w:val="008B621D"/>
    <w:rsid w:val="008C2E2A"/>
    <w:rsid w:val="008C3057"/>
    <w:rsid w:val="008C75D1"/>
    <w:rsid w:val="008D2E4D"/>
    <w:rsid w:val="008D451C"/>
    <w:rsid w:val="008D7035"/>
    <w:rsid w:val="008F396F"/>
    <w:rsid w:val="008F3DCD"/>
    <w:rsid w:val="008F5303"/>
    <w:rsid w:val="008F7802"/>
    <w:rsid w:val="0090271F"/>
    <w:rsid w:val="00902DB9"/>
    <w:rsid w:val="0090466A"/>
    <w:rsid w:val="00923655"/>
    <w:rsid w:val="00936071"/>
    <w:rsid w:val="009376CD"/>
    <w:rsid w:val="00940212"/>
    <w:rsid w:val="009419A4"/>
    <w:rsid w:val="00942EC2"/>
    <w:rsid w:val="00953740"/>
    <w:rsid w:val="00961B32"/>
    <w:rsid w:val="00962509"/>
    <w:rsid w:val="00970DB3"/>
    <w:rsid w:val="00974BB0"/>
    <w:rsid w:val="00975BCD"/>
    <w:rsid w:val="009928A9"/>
    <w:rsid w:val="0099357D"/>
    <w:rsid w:val="009A0AF3"/>
    <w:rsid w:val="009A7BBA"/>
    <w:rsid w:val="009B07CD"/>
    <w:rsid w:val="009B691B"/>
    <w:rsid w:val="009C19E9"/>
    <w:rsid w:val="009C613A"/>
    <w:rsid w:val="009D74A6"/>
    <w:rsid w:val="009E0E87"/>
    <w:rsid w:val="009F4F40"/>
    <w:rsid w:val="00A10F02"/>
    <w:rsid w:val="00A204CA"/>
    <w:rsid w:val="00A209D6"/>
    <w:rsid w:val="00A22063"/>
    <w:rsid w:val="00A22738"/>
    <w:rsid w:val="00A271F0"/>
    <w:rsid w:val="00A3703F"/>
    <w:rsid w:val="00A430EC"/>
    <w:rsid w:val="00A5127C"/>
    <w:rsid w:val="00A525D8"/>
    <w:rsid w:val="00A53724"/>
    <w:rsid w:val="00A54B2B"/>
    <w:rsid w:val="00A74B5A"/>
    <w:rsid w:val="00A82346"/>
    <w:rsid w:val="00A9478B"/>
    <w:rsid w:val="00A958AC"/>
    <w:rsid w:val="00A9671C"/>
    <w:rsid w:val="00AA004D"/>
    <w:rsid w:val="00AA1553"/>
    <w:rsid w:val="00AB0942"/>
    <w:rsid w:val="00AB5F84"/>
    <w:rsid w:val="00AF35C4"/>
    <w:rsid w:val="00B05380"/>
    <w:rsid w:val="00B05962"/>
    <w:rsid w:val="00B11E0B"/>
    <w:rsid w:val="00B15449"/>
    <w:rsid w:val="00B16C2F"/>
    <w:rsid w:val="00B200A4"/>
    <w:rsid w:val="00B2543C"/>
    <w:rsid w:val="00B27303"/>
    <w:rsid w:val="00B47FD1"/>
    <w:rsid w:val="00B516BB"/>
    <w:rsid w:val="00B55EA6"/>
    <w:rsid w:val="00B57BCB"/>
    <w:rsid w:val="00B6156B"/>
    <w:rsid w:val="00B6616F"/>
    <w:rsid w:val="00B74868"/>
    <w:rsid w:val="00B7538C"/>
    <w:rsid w:val="00B84DB2"/>
    <w:rsid w:val="00B952C2"/>
    <w:rsid w:val="00B97DF7"/>
    <w:rsid w:val="00BB446D"/>
    <w:rsid w:val="00BC3555"/>
    <w:rsid w:val="00BD00A7"/>
    <w:rsid w:val="00BF1F1A"/>
    <w:rsid w:val="00BF28B0"/>
    <w:rsid w:val="00C07E17"/>
    <w:rsid w:val="00C12B51"/>
    <w:rsid w:val="00C14369"/>
    <w:rsid w:val="00C24650"/>
    <w:rsid w:val="00C25465"/>
    <w:rsid w:val="00C33079"/>
    <w:rsid w:val="00C51328"/>
    <w:rsid w:val="00C55A12"/>
    <w:rsid w:val="00C62C87"/>
    <w:rsid w:val="00C6553E"/>
    <w:rsid w:val="00C72D60"/>
    <w:rsid w:val="00C83A13"/>
    <w:rsid w:val="00C85128"/>
    <w:rsid w:val="00C85ED1"/>
    <w:rsid w:val="00C86F10"/>
    <w:rsid w:val="00C9068C"/>
    <w:rsid w:val="00C92967"/>
    <w:rsid w:val="00C94CFF"/>
    <w:rsid w:val="00CA3D0C"/>
    <w:rsid w:val="00CA654B"/>
    <w:rsid w:val="00CB1BFA"/>
    <w:rsid w:val="00CB72B8"/>
    <w:rsid w:val="00CC59FE"/>
    <w:rsid w:val="00CC7D02"/>
    <w:rsid w:val="00CD0BA8"/>
    <w:rsid w:val="00CD4C7B"/>
    <w:rsid w:val="00CD4D51"/>
    <w:rsid w:val="00CD58FE"/>
    <w:rsid w:val="00CF19C2"/>
    <w:rsid w:val="00CF40A6"/>
    <w:rsid w:val="00D26CD0"/>
    <w:rsid w:val="00D27C3E"/>
    <w:rsid w:val="00D331C3"/>
    <w:rsid w:val="00D33BE3"/>
    <w:rsid w:val="00D3792D"/>
    <w:rsid w:val="00D55E47"/>
    <w:rsid w:val="00D62E19"/>
    <w:rsid w:val="00D67CD1"/>
    <w:rsid w:val="00D738D6"/>
    <w:rsid w:val="00D80795"/>
    <w:rsid w:val="00D854BE"/>
    <w:rsid w:val="00D87D51"/>
    <w:rsid w:val="00D87E00"/>
    <w:rsid w:val="00D87EE3"/>
    <w:rsid w:val="00D9134D"/>
    <w:rsid w:val="00D934E8"/>
    <w:rsid w:val="00D96D11"/>
    <w:rsid w:val="00DA4677"/>
    <w:rsid w:val="00DA50F7"/>
    <w:rsid w:val="00DA7A03"/>
    <w:rsid w:val="00DB0DB8"/>
    <w:rsid w:val="00DB1818"/>
    <w:rsid w:val="00DB715F"/>
    <w:rsid w:val="00DC071F"/>
    <w:rsid w:val="00DC309B"/>
    <w:rsid w:val="00DC4DA2"/>
    <w:rsid w:val="00DC5261"/>
    <w:rsid w:val="00DE25D2"/>
    <w:rsid w:val="00DE6DA9"/>
    <w:rsid w:val="00E01821"/>
    <w:rsid w:val="00E132F2"/>
    <w:rsid w:val="00E13579"/>
    <w:rsid w:val="00E13600"/>
    <w:rsid w:val="00E36FD7"/>
    <w:rsid w:val="00E46C08"/>
    <w:rsid w:val="00E471CF"/>
    <w:rsid w:val="00E5243A"/>
    <w:rsid w:val="00E56894"/>
    <w:rsid w:val="00E62835"/>
    <w:rsid w:val="00E751CD"/>
    <w:rsid w:val="00E77645"/>
    <w:rsid w:val="00E814B1"/>
    <w:rsid w:val="00E83697"/>
    <w:rsid w:val="00E859B6"/>
    <w:rsid w:val="00E958F4"/>
    <w:rsid w:val="00EA3705"/>
    <w:rsid w:val="00EA66C9"/>
    <w:rsid w:val="00EA6C46"/>
    <w:rsid w:val="00EB252B"/>
    <w:rsid w:val="00EC4A25"/>
    <w:rsid w:val="00EC66FF"/>
    <w:rsid w:val="00ED5033"/>
    <w:rsid w:val="00EF612C"/>
    <w:rsid w:val="00F024D6"/>
    <w:rsid w:val="00F025A2"/>
    <w:rsid w:val="00F036E9"/>
    <w:rsid w:val="00F07388"/>
    <w:rsid w:val="00F2026E"/>
    <w:rsid w:val="00F2210A"/>
    <w:rsid w:val="00F22DFB"/>
    <w:rsid w:val="00F31372"/>
    <w:rsid w:val="00F374A7"/>
    <w:rsid w:val="00F37743"/>
    <w:rsid w:val="00F5129B"/>
    <w:rsid w:val="00F54A3D"/>
    <w:rsid w:val="00F54CB0"/>
    <w:rsid w:val="00F579CD"/>
    <w:rsid w:val="00F653B8"/>
    <w:rsid w:val="00F71B89"/>
    <w:rsid w:val="00F72D16"/>
    <w:rsid w:val="00F7353C"/>
    <w:rsid w:val="00F76F8F"/>
    <w:rsid w:val="00F86202"/>
    <w:rsid w:val="00F9093A"/>
    <w:rsid w:val="00F941DF"/>
    <w:rsid w:val="00F96DBF"/>
    <w:rsid w:val="00FA1266"/>
    <w:rsid w:val="00FA4033"/>
    <w:rsid w:val="00FB36FA"/>
    <w:rsid w:val="00FB6DFA"/>
    <w:rsid w:val="00FC1192"/>
    <w:rsid w:val="00FC2DC1"/>
    <w:rsid w:val="00FD7377"/>
    <w:rsid w:val="00FE0114"/>
    <w:rsid w:val="00FE106D"/>
    <w:rsid w:val="00FE251B"/>
    <w:rsid w:val="1B3C041B"/>
    <w:rsid w:val="231032BA"/>
    <w:rsid w:val="5D98753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583F330A-283E-4310-AFF9-C1DA99AB6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character" w:styleId="FollowedHyperlink">
    <w:name w:val="FollowedHyperlink"/>
    <w:basedOn w:val="DefaultParagraphFont"/>
    <w:rsid w:val="00841480"/>
    <w:rPr>
      <w:color w:val="954F72" w:themeColor="followedHyperlink"/>
      <w:u w:val="single"/>
    </w:rPr>
  </w:style>
  <w:style w:type="table" w:styleId="TableGrid">
    <w:name w:val="Table Grid"/>
    <w:basedOn w:val="TableNormal"/>
    <w:rsid w:val="009F4F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Bullet,列表段落"/>
    <w:basedOn w:val="Normal"/>
    <w:link w:val="ListParagraphChar"/>
    <w:uiPriority w:val="34"/>
    <w:qFormat/>
    <w:rsid w:val="009F4F40"/>
    <w:pPr>
      <w:spacing w:after="0"/>
      <w:ind w:left="720"/>
      <w:contextualSpacing/>
    </w:pPr>
    <w:rPr>
      <w:sz w:val="24"/>
      <w:szCs w:val="24"/>
      <w:lang w:val="x-none"/>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rsid w:val="009F4F40"/>
    <w:rPr>
      <w:sz w:val="24"/>
      <w:szCs w:val="24"/>
      <w:lang w:val="x-none" w:eastAsia="en-US"/>
    </w:rPr>
  </w:style>
  <w:style w:type="character" w:styleId="CommentReference">
    <w:name w:val="annotation reference"/>
    <w:basedOn w:val="DefaultParagraphFont"/>
    <w:rsid w:val="00C51328"/>
    <w:rPr>
      <w:sz w:val="16"/>
      <w:szCs w:val="16"/>
    </w:rPr>
  </w:style>
  <w:style w:type="paragraph" w:styleId="CommentText">
    <w:name w:val="annotation text"/>
    <w:basedOn w:val="Normal"/>
    <w:link w:val="CommentTextChar"/>
    <w:rsid w:val="00C51328"/>
  </w:style>
  <w:style w:type="character" w:customStyle="1" w:styleId="CommentTextChar">
    <w:name w:val="Comment Text Char"/>
    <w:basedOn w:val="DefaultParagraphFont"/>
    <w:link w:val="CommentText"/>
    <w:rsid w:val="00C51328"/>
    <w:rPr>
      <w:lang w:eastAsia="en-US"/>
    </w:rPr>
  </w:style>
  <w:style w:type="paragraph" w:styleId="CommentSubject">
    <w:name w:val="annotation subject"/>
    <w:basedOn w:val="CommentText"/>
    <w:next w:val="CommentText"/>
    <w:link w:val="CommentSubjectChar"/>
    <w:rsid w:val="00C51328"/>
    <w:rPr>
      <w:b/>
      <w:bCs/>
    </w:rPr>
  </w:style>
  <w:style w:type="character" w:customStyle="1" w:styleId="CommentSubjectChar">
    <w:name w:val="Comment Subject Char"/>
    <w:basedOn w:val="CommentTextChar"/>
    <w:link w:val="CommentSubject"/>
    <w:rsid w:val="00C51328"/>
    <w:rPr>
      <w:b/>
      <w:bCs/>
      <w:lang w:eastAsia="en-US"/>
    </w:rPr>
  </w:style>
  <w:style w:type="paragraph" w:styleId="Caption">
    <w:name w:val="caption"/>
    <w:basedOn w:val="Normal"/>
    <w:next w:val="Normal"/>
    <w:unhideWhenUsed/>
    <w:qFormat/>
    <w:rsid w:val="00423405"/>
    <w:pPr>
      <w:spacing w:after="200"/>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104-e/Docs/R1-2102209.zip" TargetMode="External"/><Relationship Id="rId18" Type="http://schemas.openxmlformats.org/officeDocument/2006/relationships/hyperlink" Target="https://www.3gpp.org/ftp/tsg_ran/WG1_RL1/TSGR1_104-e/Docs/R1-2102248.zip" TargetMode="External"/><Relationship Id="rId26" Type="http://schemas.openxmlformats.org/officeDocument/2006/relationships/hyperlink" Target="https://www.3gpp.org/ftp/tsg_ran/WG1_RL1/TSGR1_104-e/Docs/R1-2102248.zip" TargetMode="External"/><Relationship Id="rId3" Type="http://schemas.openxmlformats.org/officeDocument/2006/relationships/customXml" Target="../customXml/item3.xml"/><Relationship Id="rId21" Type="http://schemas.openxmlformats.org/officeDocument/2006/relationships/hyperlink" Target="https://www.3gpp.org/ftp/TSG_RAN/TSG_RAN/TSGR_84/Docs/RP-191177.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ran/WG1_RL1/TSGR1_104-e/Docs/R1-2102248.zip" TargetMode="External"/><Relationship Id="rId25" Type="http://schemas.openxmlformats.org/officeDocument/2006/relationships/hyperlink" Target="https://www.3gpp.org/DynaReport/38401.htm" TargetMode="External"/><Relationship Id="rId2" Type="http://schemas.openxmlformats.org/officeDocument/2006/relationships/customXml" Target="../customXml/item2.xml"/><Relationship Id="rId16" Type="http://schemas.openxmlformats.org/officeDocument/2006/relationships/hyperlink" Target="https://www.3gpp.org/ftp/tsg_ran/WG1_RL1/TSGR1_104-e/Docs/R1-2102248.zip" TargetMode="External"/><Relationship Id="rId20" Type="http://schemas.openxmlformats.org/officeDocument/2006/relationships/image" Target="media/image2.png"/><Relationship Id="rId29" Type="http://schemas.openxmlformats.org/officeDocument/2006/relationships/hyperlink" Target="https://www.3gpp.org/ftp/tsg_ran/WG2_RL2/TSGR2_113bis-e/Docs/R2-2103673.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3.emf"/><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s://www.3gpp.org/ftp/TSG_RAN/WG2_RL2/TSGR2_113bis-e/Docs/R2-2102627.zip" TargetMode="External"/><Relationship Id="rId23" Type="http://schemas.openxmlformats.org/officeDocument/2006/relationships/hyperlink" Target="https://www.3gpp.org/DynaReport/38401.htm" TargetMode="External"/><Relationship Id="rId28" Type="http://schemas.openxmlformats.org/officeDocument/2006/relationships/hyperlink" Target="https://www.3gpp.org/ftp/tsg_ran/WG2_RL2/TSGR2_113bis-e/Docs/R2-2103673.zip" TargetMode="External"/><Relationship Id="rId10" Type="http://schemas.openxmlformats.org/officeDocument/2006/relationships/webSettings" Target="webSettings.xml"/><Relationship Id="rId19" Type="http://schemas.openxmlformats.org/officeDocument/2006/relationships/image" Target="media/image1.png"/><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2_RL2/TSGR2_113bis-e/Docs/R2-2102625.zip" TargetMode="External"/><Relationship Id="rId22" Type="http://schemas.openxmlformats.org/officeDocument/2006/relationships/hyperlink" Target="https://www.3gpp.org/ftp/TSG_RAN/TSG_RAN/TSGR_86/Docs/RP-192435.zip" TargetMode="External"/><Relationship Id="rId27" Type="http://schemas.openxmlformats.org/officeDocument/2006/relationships/hyperlink" Target="https://www.3gpp.org/ftp/tsg_ran/WG1_RL1/TSGR1_104-e/Docs/R1-2102248.zip" TargetMode="External"/><Relationship Id="rId30" Type="http://schemas.openxmlformats.org/officeDocument/2006/relationships/hyperlink" Target="https://www.3gpp.org/ftp/tsg_ran/WG2_RL2/TSGR2_113bis-e/Docs/R2-210367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5AIRPNAIUNRU-859666464-8425</_dlc_DocId>
    <_dlc_DocIdUrl xmlns="71c5aaf6-e6ce-465b-b873-5148d2a4c105">
      <Url>https://nokia.sharepoint.com/sites/c5g/e2earch/_layouts/15/DocIdRedir.aspx?ID=5AIRPNAIUNRU-859666464-8425</Url>
      <Description>5AIRPNAIUNRU-859666464-8425</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907564D7-E77B-41F9-AC99-A700C6D7C625}">
  <ds:schemaRefs>
    <ds:schemaRef ds:uri="http://schemas.openxmlformats.org/officeDocument/2006/bibliography"/>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4238</Words>
  <Characters>24157</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28339</CharactersWithSpaces>
  <SharedDoc>false</SharedDoc>
  <HyperlinkBase/>
  <HLinks>
    <vt:vector size="78" baseType="variant">
      <vt:variant>
        <vt:i4>3276878</vt:i4>
      </vt:variant>
      <vt:variant>
        <vt:i4>45</vt:i4>
      </vt:variant>
      <vt:variant>
        <vt:i4>0</vt:i4>
      </vt:variant>
      <vt:variant>
        <vt:i4>5</vt:i4>
      </vt:variant>
      <vt:variant>
        <vt:lpwstr>https://www.3gpp.org/ftp/tsg_ran/WG2_RL2/TSGR2_113bis-e/Docs/R2-2103673.zip</vt:lpwstr>
      </vt:variant>
      <vt:variant>
        <vt:lpwstr/>
      </vt:variant>
      <vt:variant>
        <vt:i4>3276878</vt:i4>
      </vt:variant>
      <vt:variant>
        <vt:i4>42</vt:i4>
      </vt:variant>
      <vt:variant>
        <vt:i4>0</vt:i4>
      </vt:variant>
      <vt:variant>
        <vt:i4>5</vt:i4>
      </vt:variant>
      <vt:variant>
        <vt:lpwstr>https://www.3gpp.org/ftp/tsg_ran/WG2_RL2/TSGR2_113bis-e/Docs/R2-2103673.zip</vt:lpwstr>
      </vt:variant>
      <vt:variant>
        <vt:lpwstr/>
      </vt:variant>
      <vt:variant>
        <vt:i4>3276878</vt:i4>
      </vt:variant>
      <vt:variant>
        <vt:i4>39</vt:i4>
      </vt:variant>
      <vt:variant>
        <vt:i4>0</vt:i4>
      </vt:variant>
      <vt:variant>
        <vt:i4>5</vt:i4>
      </vt:variant>
      <vt:variant>
        <vt:lpwstr>https://www.3gpp.org/ftp/tsg_ran/WG2_RL2/TSGR2_113bis-e/Docs/R2-2103673.zip</vt:lpwstr>
      </vt:variant>
      <vt:variant>
        <vt:lpwstr/>
      </vt:variant>
      <vt:variant>
        <vt:i4>1179757</vt:i4>
      </vt:variant>
      <vt:variant>
        <vt:i4>36</vt:i4>
      </vt:variant>
      <vt:variant>
        <vt:i4>0</vt:i4>
      </vt:variant>
      <vt:variant>
        <vt:i4>5</vt:i4>
      </vt:variant>
      <vt:variant>
        <vt:lpwstr>https://www.3gpp.org/ftp/tsg_ran/WG1_RL1/TSGR1_104-e/Docs/R1-2102248.zip</vt:lpwstr>
      </vt:variant>
      <vt:variant>
        <vt:lpwstr/>
      </vt:variant>
      <vt:variant>
        <vt:i4>1179757</vt:i4>
      </vt:variant>
      <vt:variant>
        <vt:i4>33</vt:i4>
      </vt:variant>
      <vt:variant>
        <vt:i4>0</vt:i4>
      </vt:variant>
      <vt:variant>
        <vt:i4>5</vt:i4>
      </vt:variant>
      <vt:variant>
        <vt:lpwstr>https://www.3gpp.org/ftp/tsg_ran/WG1_RL1/TSGR1_104-e/Docs/R1-2102248.zip</vt:lpwstr>
      </vt:variant>
      <vt:variant>
        <vt:lpwstr/>
      </vt:variant>
      <vt:variant>
        <vt:i4>1310780</vt:i4>
      </vt:variant>
      <vt:variant>
        <vt:i4>27</vt:i4>
      </vt:variant>
      <vt:variant>
        <vt:i4>0</vt:i4>
      </vt:variant>
      <vt:variant>
        <vt:i4>5</vt:i4>
      </vt:variant>
      <vt:variant>
        <vt:lpwstr>https://www.3gpp.org/ftp/TSG_RAN/TSG_RAN/TSGR_86/Docs/RP-192435.zip</vt:lpwstr>
      </vt:variant>
      <vt:variant>
        <vt:lpwstr/>
      </vt:variant>
      <vt:variant>
        <vt:i4>1114171</vt:i4>
      </vt:variant>
      <vt:variant>
        <vt:i4>24</vt:i4>
      </vt:variant>
      <vt:variant>
        <vt:i4>0</vt:i4>
      </vt:variant>
      <vt:variant>
        <vt:i4>5</vt:i4>
      </vt:variant>
      <vt:variant>
        <vt:lpwstr>https://www.3gpp.org/ftp/TSG_RAN/TSG_RAN/TSGR_84/Docs/RP-191177.zip</vt:lpwstr>
      </vt:variant>
      <vt:variant>
        <vt:lpwstr/>
      </vt:variant>
      <vt:variant>
        <vt:i4>1179757</vt:i4>
      </vt:variant>
      <vt:variant>
        <vt:i4>15</vt:i4>
      </vt:variant>
      <vt:variant>
        <vt:i4>0</vt:i4>
      </vt:variant>
      <vt:variant>
        <vt:i4>5</vt:i4>
      </vt:variant>
      <vt:variant>
        <vt:lpwstr>https://www.3gpp.org/ftp/tsg_ran/WG1_RL1/TSGR1_104-e/Docs/R1-2102248.zip</vt:lpwstr>
      </vt:variant>
      <vt:variant>
        <vt:lpwstr/>
      </vt:variant>
      <vt:variant>
        <vt:i4>1179757</vt:i4>
      </vt:variant>
      <vt:variant>
        <vt:i4>12</vt:i4>
      </vt:variant>
      <vt:variant>
        <vt:i4>0</vt:i4>
      </vt:variant>
      <vt:variant>
        <vt:i4>5</vt:i4>
      </vt:variant>
      <vt:variant>
        <vt:lpwstr>https://www.3gpp.org/ftp/tsg_ran/WG1_RL1/TSGR1_104-e/Docs/R1-2102248.zip</vt:lpwstr>
      </vt:variant>
      <vt:variant>
        <vt:lpwstr/>
      </vt:variant>
      <vt:variant>
        <vt:i4>1179757</vt:i4>
      </vt:variant>
      <vt:variant>
        <vt:i4>9</vt:i4>
      </vt:variant>
      <vt:variant>
        <vt:i4>0</vt:i4>
      </vt:variant>
      <vt:variant>
        <vt:i4>5</vt:i4>
      </vt:variant>
      <vt:variant>
        <vt:lpwstr>https://www.3gpp.org/ftp/tsg_ran/WG1_RL1/TSGR1_104-e/Docs/R1-2102248.zip</vt:lpwstr>
      </vt:variant>
      <vt:variant>
        <vt:lpwstr/>
      </vt:variant>
      <vt:variant>
        <vt:i4>3539018</vt:i4>
      </vt:variant>
      <vt:variant>
        <vt:i4>6</vt:i4>
      </vt:variant>
      <vt:variant>
        <vt:i4>0</vt:i4>
      </vt:variant>
      <vt:variant>
        <vt:i4>5</vt:i4>
      </vt:variant>
      <vt:variant>
        <vt:lpwstr>https://www.3gpp.org/ftp/TSG_RAN/WG2_RL2/TSGR2_113bis-e/Docs/R2-2102627.zip</vt:lpwstr>
      </vt:variant>
      <vt:variant>
        <vt:lpwstr/>
      </vt:variant>
      <vt:variant>
        <vt:i4>3539016</vt:i4>
      </vt:variant>
      <vt:variant>
        <vt:i4>3</vt:i4>
      </vt:variant>
      <vt:variant>
        <vt:i4>0</vt:i4>
      </vt:variant>
      <vt:variant>
        <vt:i4>5</vt:i4>
      </vt:variant>
      <vt:variant>
        <vt:lpwstr>https://www.3gpp.org/ftp/TSG_RAN/WG2_RL2/TSGR2_113bis-e/Docs/R2-2102625.zip</vt:lpwstr>
      </vt:variant>
      <vt:variant>
        <vt:lpwstr/>
      </vt:variant>
      <vt:variant>
        <vt:i4>1245289</vt:i4>
      </vt:variant>
      <vt:variant>
        <vt:i4>0</vt:i4>
      </vt:variant>
      <vt:variant>
        <vt:i4>0</vt:i4>
      </vt:variant>
      <vt:variant>
        <vt:i4>5</vt:i4>
      </vt:variant>
      <vt:variant>
        <vt:lpwstr>https://www.3gpp.org/ftp/tsg_ran/WG1_RL1/TSGR1_104-e/Docs/R1-2102209.zip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Henttonen, Tero (Nokia - FI/Espoo)</cp:lastModifiedBy>
  <cp:revision>2</cp:revision>
  <dcterms:created xsi:type="dcterms:W3CDTF">2021-04-01T16:30:00Z</dcterms:created>
  <dcterms:modified xsi:type="dcterms:W3CDTF">2021-04-01T16:30:00Z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326acc7a-10e1-4ebb-840a-0bb3e3516891</vt:lpwstr>
  </property>
  <property fmtid="{D5CDD505-2E9C-101B-9397-08002B2CF9AE}" pid="4" name="MSIP_Label_4327cfd9-47ed-48f1-9376-4ab3148935bb_Enabled">
    <vt:lpwstr>true</vt:lpwstr>
  </property>
  <property fmtid="{D5CDD505-2E9C-101B-9397-08002B2CF9AE}" pid="5" name="MSIP_Label_4327cfd9-47ed-48f1-9376-4ab3148935bb_SetDate">
    <vt:lpwstr>2021-03-29T11:23:29Z</vt:lpwstr>
  </property>
  <property fmtid="{D5CDD505-2E9C-101B-9397-08002B2CF9AE}" pid="6" name="MSIP_Label_4327cfd9-47ed-48f1-9376-4ab3148935bb_Method">
    <vt:lpwstr>Privileged</vt:lpwstr>
  </property>
  <property fmtid="{D5CDD505-2E9C-101B-9397-08002B2CF9AE}" pid="7" name="MSIP_Label_4327cfd9-47ed-48f1-9376-4ab3148935bb_Name">
    <vt:lpwstr>4327cfd9-47ed-48f1-9376-4ab3148935bb</vt:lpwstr>
  </property>
  <property fmtid="{D5CDD505-2E9C-101B-9397-08002B2CF9AE}" pid="8" name="MSIP_Label_4327cfd9-47ed-48f1-9376-4ab3148935bb_SiteId">
    <vt:lpwstr>5d471751-9675-428d-917b-70f44f9630b0</vt:lpwstr>
  </property>
  <property fmtid="{D5CDD505-2E9C-101B-9397-08002B2CF9AE}" pid="9" name="MSIP_Label_4327cfd9-47ed-48f1-9376-4ab3148935bb_ActionId">
    <vt:lpwstr>8b4368d1-c84d-4be9-b2cb-0e02d910c2ce</vt:lpwstr>
  </property>
  <property fmtid="{D5CDD505-2E9C-101B-9397-08002B2CF9AE}" pid="10" name="MSIP_Label_4327cfd9-47ed-48f1-9376-4ab3148935bb_ContentBits">
    <vt:lpwstr>0</vt:lpwstr>
  </property>
</Properties>
</file>